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AC8" w:rsidRDefault="00A95453" w:rsidP="007D441A">
      <w:pPr>
        <w:jc w:val="center"/>
        <w:rPr>
          <w:rFonts w:ascii="Arial" w:hAnsi="Arial" w:cs="Arial"/>
          <w:b/>
          <w:color w:val="000000"/>
        </w:rPr>
      </w:pPr>
      <w:bookmarkStart w:id="0" w:name="_GoBack"/>
      <w:bookmarkEnd w:id="0"/>
      <w:r>
        <w:rPr>
          <w:rFonts w:ascii="Arial" w:hAnsi="Arial" w:cs="Arial"/>
          <w:b/>
          <w:noProof/>
          <w:color w:val="000000"/>
          <w:lang w:eastAsia="en-US"/>
        </w:rPr>
        <w:drawing>
          <wp:inline distT="0" distB="0" distL="0" distR="0">
            <wp:extent cx="5486400" cy="1162050"/>
            <wp:effectExtent l="0" t="0" r="0" b="0"/>
            <wp:docPr id="1" name="Picture 1" descr="IO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MA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1162050"/>
                    </a:xfrm>
                    <a:prstGeom prst="rect">
                      <a:avLst/>
                    </a:prstGeom>
                    <a:noFill/>
                    <a:ln>
                      <a:noFill/>
                    </a:ln>
                  </pic:spPr>
                </pic:pic>
              </a:graphicData>
            </a:graphic>
          </wp:inline>
        </w:drawing>
      </w:r>
    </w:p>
    <w:p w:rsidR="007B3AC8" w:rsidRDefault="007B3AC8" w:rsidP="007D441A">
      <w:pPr>
        <w:jc w:val="center"/>
        <w:rPr>
          <w:rFonts w:ascii="Arial" w:hAnsi="Arial" w:cs="Arial"/>
          <w:b/>
          <w:color w:val="000000"/>
        </w:rPr>
      </w:pPr>
    </w:p>
    <w:p w:rsidR="007D441A" w:rsidRPr="007B3AC8" w:rsidRDefault="007D441A" w:rsidP="007D441A">
      <w:pPr>
        <w:jc w:val="center"/>
        <w:rPr>
          <w:rFonts w:ascii="Arial" w:hAnsi="Arial" w:cs="Arial"/>
          <w:b/>
          <w:color w:val="000000"/>
          <w:sz w:val="36"/>
          <w:szCs w:val="36"/>
        </w:rPr>
      </w:pPr>
      <w:r w:rsidRPr="007B3AC8">
        <w:rPr>
          <w:rFonts w:ascii="Arial" w:hAnsi="Arial" w:cs="Arial"/>
          <w:b/>
          <w:color w:val="000000"/>
          <w:sz w:val="36"/>
          <w:szCs w:val="36"/>
        </w:rPr>
        <w:t>MEDICAL LIABILITY REFORM</w:t>
      </w:r>
    </w:p>
    <w:p w:rsidR="008B4E34" w:rsidRPr="007B3AC8" w:rsidRDefault="008B4E34" w:rsidP="007D441A">
      <w:pPr>
        <w:jc w:val="center"/>
        <w:rPr>
          <w:rFonts w:ascii="Arial" w:hAnsi="Arial" w:cs="Arial"/>
          <w:b/>
          <w:color w:val="000000"/>
          <w:sz w:val="36"/>
          <w:szCs w:val="36"/>
        </w:rPr>
      </w:pPr>
      <w:r w:rsidRPr="007B3AC8">
        <w:rPr>
          <w:rFonts w:ascii="Arial" w:hAnsi="Arial" w:cs="Arial"/>
          <w:b/>
          <w:color w:val="000000"/>
          <w:sz w:val="36"/>
          <w:szCs w:val="36"/>
        </w:rPr>
        <w:t>POSITION PAPER</w:t>
      </w:r>
    </w:p>
    <w:p w:rsidR="007D441A" w:rsidRDefault="007D441A">
      <w:pPr>
        <w:rPr>
          <w:rFonts w:ascii="Arial" w:hAnsi="Arial" w:cs="Arial"/>
          <w:color w:val="000000"/>
        </w:rPr>
      </w:pPr>
    </w:p>
    <w:p w:rsidR="00D302F5" w:rsidRPr="008B4E34" w:rsidRDefault="00D302F5">
      <w:r w:rsidRPr="008B4E34">
        <w:rPr>
          <w:color w:val="000000"/>
        </w:rPr>
        <w:t>The Iowa Osteopathic Medical Association</w:t>
      </w:r>
      <w:r w:rsidR="007D441A" w:rsidRPr="008B4E34">
        <w:rPr>
          <w:color w:val="000000"/>
        </w:rPr>
        <w:t xml:space="preserve"> (IOMA)</w:t>
      </w:r>
      <w:r w:rsidRPr="008B4E34">
        <w:rPr>
          <w:color w:val="000000"/>
        </w:rPr>
        <w:t xml:space="preserve"> continues to believe that medical liability reform is needed </w:t>
      </w:r>
      <w:r w:rsidR="00F01B67" w:rsidRPr="008B4E34">
        <w:rPr>
          <w:color w:val="000000"/>
        </w:rPr>
        <w:t xml:space="preserve">to </w:t>
      </w:r>
      <w:r w:rsidRPr="008B4E34">
        <w:rPr>
          <w:color w:val="000000"/>
        </w:rPr>
        <w:t xml:space="preserve">ensure Iowans have access to highly </w:t>
      </w:r>
      <w:proofErr w:type="gramStart"/>
      <w:r w:rsidRPr="008B4E34">
        <w:rPr>
          <w:color w:val="000000"/>
        </w:rPr>
        <w:t>qualified</w:t>
      </w:r>
      <w:proofErr w:type="gramEnd"/>
      <w:r w:rsidRPr="008B4E34">
        <w:rPr>
          <w:color w:val="000000"/>
        </w:rPr>
        <w:t xml:space="preserve"> health care professionals.  </w:t>
      </w:r>
      <w:r w:rsidR="004C5F23" w:rsidRPr="008B4E34">
        <w:rPr>
          <w:color w:val="000000"/>
        </w:rPr>
        <w:t xml:space="preserve">While professional liability insurance rates have been stable for the past several years, studies show that </w:t>
      </w:r>
      <w:smartTag w:uri="urn:schemas-microsoft-com:office:smarttags" w:element="State">
        <w:smartTag w:uri="urn:schemas-microsoft-com:office:smarttags" w:element="place">
          <w:r w:rsidR="004C5F23" w:rsidRPr="008B4E34">
            <w:rPr>
              <w:color w:val="000000"/>
            </w:rPr>
            <w:t>Iowa</w:t>
          </w:r>
        </w:smartTag>
      </w:smartTag>
      <w:r w:rsidR="004C5F23" w:rsidRPr="008B4E34">
        <w:rPr>
          <w:color w:val="000000"/>
        </w:rPr>
        <w:t xml:space="preserve"> physicians pay on average the highest medical liability insurance rates of any of the surrounding states.  This despite the fact that </w:t>
      </w:r>
      <w:smartTag w:uri="urn:schemas-microsoft-com:office:smarttags" w:element="State">
        <w:smartTag w:uri="urn:schemas-microsoft-com:office:smarttags" w:element="place">
          <w:r w:rsidR="004C5F23" w:rsidRPr="008B4E34">
            <w:t>Iowa</w:t>
          </w:r>
        </w:smartTag>
      </w:smartTag>
      <w:r w:rsidR="004C5F23" w:rsidRPr="008B4E34">
        <w:t xml:space="preserve"> has consistently ranked as having one of the highest quality and most affordable healthcare systems in the country.</w:t>
      </w:r>
      <w:r w:rsidR="0007150E" w:rsidRPr="008B4E34">
        <w:rPr>
          <w:vertAlign w:val="superscript"/>
        </w:rPr>
        <w:t>1</w:t>
      </w:r>
    </w:p>
    <w:p w:rsidR="004C5F23" w:rsidRPr="008B4E34" w:rsidRDefault="004C5F23"/>
    <w:p w:rsidR="004C5F23" w:rsidRPr="008B4E34" w:rsidRDefault="004C5F23">
      <w:pPr>
        <w:rPr>
          <w:color w:val="000000"/>
        </w:rPr>
      </w:pPr>
      <w:r w:rsidRPr="008B4E34">
        <w:t xml:space="preserve">High medical liability insurance premiums is one of the reasons </w:t>
      </w:r>
      <w:smartTag w:uri="urn:schemas-microsoft-com:office:smarttags" w:element="State">
        <w:smartTag w:uri="urn:schemas-microsoft-com:office:smarttags" w:element="place">
          <w:r w:rsidR="00992C08" w:rsidRPr="008B4E34">
            <w:t>Iowa</w:t>
          </w:r>
        </w:smartTag>
      </w:smartTag>
      <w:r w:rsidRPr="008B4E34">
        <w:t xml:space="preserve"> struggle</w:t>
      </w:r>
      <w:r w:rsidR="00992C08" w:rsidRPr="008B4E34">
        <w:t>s</w:t>
      </w:r>
      <w:r w:rsidRPr="008B4E34">
        <w:t xml:space="preserve"> to attract and retain physicians. In national rankings of the number of physicians per capita, </w:t>
      </w:r>
      <w:smartTag w:uri="urn:schemas-microsoft-com:office:smarttags" w:element="State">
        <w:smartTag w:uri="urn:schemas-microsoft-com:office:smarttags" w:element="place">
          <w:r w:rsidR="0007150E" w:rsidRPr="008B4E34">
            <w:t>Iowa</w:t>
          </w:r>
        </w:smartTag>
      </w:smartTag>
      <w:r w:rsidRPr="008B4E34">
        <w:t xml:space="preserve"> ranks 43rd overall, and 40th or below for 14 of the 25 most-common medical specialties.</w:t>
      </w:r>
      <w:r w:rsidR="0007150E" w:rsidRPr="008B4E34">
        <w:rPr>
          <w:vertAlign w:val="superscript"/>
        </w:rPr>
        <w:t>2</w:t>
      </w:r>
    </w:p>
    <w:p w:rsidR="00116748" w:rsidRPr="008B4E34" w:rsidRDefault="00116748" w:rsidP="00116748">
      <w:pPr>
        <w:pStyle w:val="Default"/>
        <w:rPr>
          <w:rFonts w:ascii="Times New Roman" w:hAnsi="Times New Roman" w:cs="Times New Roman"/>
        </w:rPr>
      </w:pPr>
    </w:p>
    <w:p w:rsidR="00116748" w:rsidRPr="00F01B67" w:rsidRDefault="00116748" w:rsidP="00116748">
      <w:pPr>
        <w:pStyle w:val="Default"/>
      </w:pPr>
      <w:smartTag w:uri="urn:schemas-microsoft-com:office:smarttags" w:element="State">
        <w:smartTag w:uri="urn:schemas-microsoft-com:office:smarttags" w:element="place">
          <w:r w:rsidRPr="00F01B67">
            <w:t>Iowa</w:t>
          </w:r>
        </w:smartTag>
      </w:smartTag>
      <w:r w:rsidRPr="00F01B67">
        <w:t xml:space="preserve">’s Medical Liability Climate is Worse </w:t>
      </w:r>
      <w:proofErr w:type="gramStart"/>
      <w:r w:rsidRPr="00F01B67">
        <w:t>Than</w:t>
      </w:r>
      <w:proofErr w:type="gramEnd"/>
      <w:r w:rsidRPr="00F01B67">
        <w:t xml:space="preserve"> Neighboring States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1442"/>
        <w:gridCol w:w="1426"/>
        <w:gridCol w:w="1441"/>
        <w:gridCol w:w="1444"/>
        <w:gridCol w:w="1431"/>
      </w:tblGrid>
      <w:tr w:rsidR="003B4956" w:rsidRPr="00F76638" w:rsidTr="00F76638">
        <w:tc>
          <w:tcPr>
            <w:tcW w:w="1476" w:type="dxa"/>
            <w:shd w:val="clear" w:color="auto" w:fill="auto"/>
          </w:tcPr>
          <w:p w:rsidR="003B4956" w:rsidRPr="00F76638" w:rsidRDefault="003B4956">
            <w:pPr>
              <w:rPr>
                <w:rFonts w:ascii="Arial" w:hAnsi="Arial" w:cs="Arial"/>
                <w:sz w:val="20"/>
                <w:szCs w:val="20"/>
              </w:rPr>
            </w:pPr>
            <w:r w:rsidRPr="00F76638">
              <w:rPr>
                <w:rFonts w:ascii="Arial" w:hAnsi="Arial" w:cs="Arial"/>
                <w:sz w:val="20"/>
                <w:szCs w:val="20"/>
              </w:rPr>
              <w:t>State</w:t>
            </w:r>
          </w:p>
        </w:tc>
        <w:tc>
          <w:tcPr>
            <w:tcW w:w="1476" w:type="dxa"/>
            <w:shd w:val="clear" w:color="auto" w:fill="auto"/>
          </w:tcPr>
          <w:p w:rsidR="003B4956" w:rsidRPr="00F76638" w:rsidRDefault="003B4956">
            <w:pPr>
              <w:rPr>
                <w:rFonts w:ascii="Arial" w:hAnsi="Arial" w:cs="Arial"/>
                <w:sz w:val="20"/>
                <w:szCs w:val="20"/>
              </w:rPr>
            </w:pPr>
            <w:r w:rsidRPr="00F76638">
              <w:rPr>
                <w:rFonts w:ascii="Arial" w:hAnsi="Arial" w:cs="Arial"/>
                <w:sz w:val="20"/>
                <w:szCs w:val="20"/>
              </w:rPr>
              <w:t>Average MLI Premium</w:t>
            </w:r>
            <w:r w:rsidRPr="00F76638">
              <w:rPr>
                <w:rFonts w:ascii="Arial" w:hAnsi="Arial" w:cs="Arial"/>
                <w:sz w:val="20"/>
                <w:szCs w:val="20"/>
                <w:vertAlign w:val="superscript"/>
              </w:rPr>
              <w:t>3</w:t>
            </w:r>
          </w:p>
        </w:tc>
        <w:tc>
          <w:tcPr>
            <w:tcW w:w="1476" w:type="dxa"/>
            <w:shd w:val="clear" w:color="auto" w:fill="auto"/>
          </w:tcPr>
          <w:p w:rsidR="003B4956" w:rsidRPr="00F76638" w:rsidRDefault="003B4956">
            <w:pPr>
              <w:rPr>
                <w:rFonts w:ascii="Arial" w:hAnsi="Arial" w:cs="Arial"/>
                <w:sz w:val="20"/>
                <w:szCs w:val="20"/>
              </w:rPr>
            </w:pPr>
            <w:r w:rsidRPr="00F76638">
              <w:rPr>
                <w:rFonts w:ascii="Arial" w:hAnsi="Arial" w:cs="Arial"/>
                <w:sz w:val="20"/>
                <w:szCs w:val="20"/>
              </w:rPr>
              <w:t xml:space="preserve">Percent of </w:t>
            </w:r>
            <w:smartTag w:uri="urn:schemas-microsoft-com:office:smarttags" w:element="State">
              <w:smartTag w:uri="urn:schemas-microsoft-com:office:smarttags" w:element="place">
                <w:r w:rsidRPr="00F76638">
                  <w:rPr>
                    <w:rFonts w:ascii="Arial" w:hAnsi="Arial" w:cs="Arial"/>
                    <w:sz w:val="20"/>
                    <w:szCs w:val="20"/>
                  </w:rPr>
                  <w:t>Iowa</w:t>
                </w:r>
              </w:smartTag>
            </w:smartTag>
            <w:r w:rsidRPr="00F76638">
              <w:rPr>
                <w:rFonts w:ascii="Arial" w:hAnsi="Arial" w:cs="Arial"/>
                <w:sz w:val="20"/>
                <w:szCs w:val="20"/>
              </w:rPr>
              <w:t xml:space="preserve"> Prem.</w:t>
            </w:r>
          </w:p>
        </w:tc>
        <w:tc>
          <w:tcPr>
            <w:tcW w:w="1476" w:type="dxa"/>
            <w:shd w:val="clear" w:color="auto" w:fill="auto"/>
          </w:tcPr>
          <w:p w:rsidR="003B4956" w:rsidRPr="00F76638" w:rsidRDefault="003B4956">
            <w:pPr>
              <w:rPr>
                <w:rFonts w:ascii="Arial" w:hAnsi="Arial" w:cs="Arial"/>
                <w:sz w:val="20"/>
                <w:szCs w:val="20"/>
              </w:rPr>
            </w:pPr>
            <w:r w:rsidRPr="00F76638">
              <w:rPr>
                <w:rFonts w:ascii="Arial" w:hAnsi="Arial" w:cs="Arial"/>
                <w:sz w:val="20"/>
                <w:szCs w:val="20"/>
              </w:rPr>
              <w:t>Caps on Damages</w:t>
            </w:r>
          </w:p>
        </w:tc>
        <w:tc>
          <w:tcPr>
            <w:tcW w:w="1476" w:type="dxa"/>
            <w:shd w:val="clear" w:color="auto" w:fill="auto"/>
          </w:tcPr>
          <w:p w:rsidR="003B4956" w:rsidRPr="00F76638" w:rsidRDefault="003B4956">
            <w:pPr>
              <w:rPr>
                <w:rFonts w:ascii="Arial" w:hAnsi="Arial" w:cs="Arial"/>
                <w:sz w:val="20"/>
                <w:szCs w:val="20"/>
              </w:rPr>
            </w:pPr>
            <w:r w:rsidRPr="00F76638">
              <w:rPr>
                <w:rFonts w:ascii="Arial" w:hAnsi="Arial" w:cs="Arial"/>
                <w:sz w:val="20"/>
                <w:szCs w:val="20"/>
              </w:rPr>
              <w:t>Certificate of Merit</w:t>
            </w:r>
          </w:p>
        </w:tc>
        <w:tc>
          <w:tcPr>
            <w:tcW w:w="1476" w:type="dxa"/>
            <w:shd w:val="clear" w:color="auto" w:fill="auto"/>
          </w:tcPr>
          <w:p w:rsidR="003B4956" w:rsidRPr="00F76638" w:rsidRDefault="003B4956">
            <w:pPr>
              <w:rPr>
                <w:rFonts w:ascii="Arial" w:hAnsi="Arial" w:cs="Arial"/>
                <w:sz w:val="20"/>
                <w:szCs w:val="20"/>
              </w:rPr>
            </w:pPr>
            <w:r w:rsidRPr="00F76638">
              <w:rPr>
                <w:rFonts w:ascii="Arial" w:hAnsi="Arial" w:cs="Arial"/>
                <w:sz w:val="20"/>
                <w:szCs w:val="20"/>
              </w:rPr>
              <w:t>Attorney Fee limits</w:t>
            </w:r>
          </w:p>
        </w:tc>
      </w:tr>
      <w:tr w:rsidR="003B4956" w:rsidRPr="00F76638" w:rsidTr="00F76638">
        <w:tc>
          <w:tcPr>
            <w:tcW w:w="1476" w:type="dxa"/>
            <w:shd w:val="clear" w:color="auto" w:fill="auto"/>
          </w:tcPr>
          <w:p w:rsidR="003B4956" w:rsidRPr="00F76638" w:rsidRDefault="003B4956">
            <w:pPr>
              <w:rPr>
                <w:rFonts w:ascii="Arial" w:hAnsi="Arial" w:cs="Arial"/>
                <w:sz w:val="20"/>
                <w:szCs w:val="20"/>
              </w:rPr>
            </w:pPr>
            <w:smartTag w:uri="urn:schemas-microsoft-com:office:smarttags" w:element="State">
              <w:smartTag w:uri="urn:schemas-microsoft-com:office:smarttags" w:element="place">
                <w:r w:rsidRPr="00F76638">
                  <w:rPr>
                    <w:rFonts w:ascii="Arial" w:hAnsi="Arial" w:cs="Arial"/>
                    <w:sz w:val="20"/>
                    <w:szCs w:val="20"/>
                  </w:rPr>
                  <w:t>Iowa</w:t>
                </w:r>
              </w:smartTag>
            </w:smartTag>
          </w:p>
        </w:tc>
        <w:tc>
          <w:tcPr>
            <w:tcW w:w="1476" w:type="dxa"/>
            <w:shd w:val="clear" w:color="auto" w:fill="auto"/>
          </w:tcPr>
          <w:p w:rsidR="003B4956" w:rsidRPr="00F76638" w:rsidRDefault="003B4956" w:rsidP="00F76638">
            <w:pPr>
              <w:jc w:val="center"/>
              <w:rPr>
                <w:rFonts w:ascii="Arial" w:hAnsi="Arial" w:cs="Arial"/>
                <w:sz w:val="20"/>
                <w:szCs w:val="20"/>
              </w:rPr>
            </w:pPr>
            <w:r w:rsidRPr="00F76638">
              <w:rPr>
                <w:rFonts w:ascii="Arial" w:hAnsi="Arial" w:cs="Arial"/>
                <w:sz w:val="20"/>
                <w:szCs w:val="20"/>
              </w:rPr>
              <w:t>$20,496</w:t>
            </w:r>
          </w:p>
        </w:tc>
        <w:tc>
          <w:tcPr>
            <w:tcW w:w="1476" w:type="dxa"/>
            <w:shd w:val="clear" w:color="auto" w:fill="auto"/>
          </w:tcPr>
          <w:p w:rsidR="003B4956" w:rsidRPr="00F76638" w:rsidRDefault="001D4897" w:rsidP="00F76638">
            <w:pPr>
              <w:jc w:val="center"/>
              <w:rPr>
                <w:rFonts w:ascii="Arial" w:hAnsi="Arial" w:cs="Arial"/>
                <w:sz w:val="20"/>
                <w:szCs w:val="20"/>
              </w:rPr>
            </w:pPr>
            <w:r w:rsidRPr="00F76638">
              <w:rPr>
                <w:rFonts w:ascii="Arial" w:hAnsi="Arial" w:cs="Arial"/>
                <w:sz w:val="20"/>
                <w:szCs w:val="20"/>
              </w:rPr>
              <w:t>100%</w:t>
            </w:r>
          </w:p>
        </w:tc>
        <w:tc>
          <w:tcPr>
            <w:tcW w:w="1476" w:type="dxa"/>
            <w:shd w:val="clear" w:color="auto" w:fill="auto"/>
          </w:tcPr>
          <w:p w:rsidR="003B4956" w:rsidRPr="00F76638" w:rsidRDefault="003B4956" w:rsidP="00F76638">
            <w:pPr>
              <w:jc w:val="center"/>
              <w:rPr>
                <w:rFonts w:ascii="Arial" w:hAnsi="Arial" w:cs="Arial"/>
                <w:sz w:val="20"/>
                <w:szCs w:val="20"/>
              </w:rPr>
            </w:pPr>
          </w:p>
        </w:tc>
        <w:tc>
          <w:tcPr>
            <w:tcW w:w="1476" w:type="dxa"/>
            <w:shd w:val="clear" w:color="auto" w:fill="auto"/>
          </w:tcPr>
          <w:p w:rsidR="003B4956" w:rsidRPr="00F76638" w:rsidRDefault="003B4956" w:rsidP="00F76638">
            <w:pPr>
              <w:jc w:val="center"/>
              <w:rPr>
                <w:rFonts w:ascii="Arial" w:hAnsi="Arial" w:cs="Arial"/>
                <w:sz w:val="20"/>
                <w:szCs w:val="20"/>
              </w:rPr>
            </w:pPr>
          </w:p>
        </w:tc>
        <w:tc>
          <w:tcPr>
            <w:tcW w:w="1476" w:type="dxa"/>
            <w:shd w:val="clear" w:color="auto" w:fill="auto"/>
          </w:tcPr>
          <w:p w:rsidR="003B4956" w:rsidRPr="00F76638" w:rsidRDefault="003B4956" w:rsidP="00F76638">
            <w:pPr>
              <w:jc w:val="center"/>
              <w:rPr>
                <w:rFonts w:ascii="Arial" w:hAnsi="Arial" w:cs="Arial"/>
                <w:sz w:val="20"/>
                <w:szCs w:val="20"/>
              </w:rPr>
            </w:pPr>
          </w:p>
        </w:tc>
      </w:tr>
      <w:tr w:rsidR="003B4956" w:rsidRPr="00F76638" w:rsidTr="00F76638">
        <w:tc>
          <w:tcPr>
            <w:tcW w:w="1476" w:type="dxa"/>
            <w:shd w:val="clear" w:color="auto" w:fill="auto"/>
          </w:tcPr>
          <w:p w:rsidR="003B4956" w:rsidRPr="00F76638" w:rsidRDefault="003B4956">
            <w:pPr>
              <w:rPr>
                <w:rFonts w:ascii="Arial" w:hAnsi="Arial" w:cs="Arial"/>
                <w:sz w:val="20"/>
                <w:szCs w:val="20"/>
              </w:rPr>
            </w:pPr>
            <w:smartTag w:uri="urn:schemas-microsoft-com:office:smarttags" w:element="State">
              <w:smartTag w:uri="urn:schemas-microsoft-com:office:smarttags" w:element="place">
                <w:r w:rsidRPr="00F76638">
                  <w:rPr>
                    <w:rFonts w:ascii="Arial" w:hAnsi="Arial" w:cs="Arial"/>
                    <w:sz w:val="20"/>
                    <w:szCs w:val="20"/>
                  </w:rPr>
                  <w:t>South Dakota</w:t>
                </w:r>
              </w:smartTag>
            </w:smartTag>
          </w:p>
        </w:tc>
        <w:tc>
          <w:tcPr>
            <w:tcW w:w="1476" w:type="dxa"/>
            <w:shd w:val="clear" w:color="auto" w:fill="auto"/>
          </w:tcPr>
          <w:p w:rsidR="003B4956" w:rsidRPr="00F76638" w:rsidRDefault="003B4956" w:rsidP="00F76638">
            <w:pPr>
              <w:jc w:val="center"/>
              <w:rPr>
                <w:rFonts w:ascii="Arial" w:hAnsi="Arial" w:cs="Arial"/>
                <w:sz w:val="20"/>
                <w:szCs w:val="20"/>
              </w:rPr>
            </w:pPr>
            <w:r w:rsidRPr="00F76638">
              <w:rPr>
                <w:rFonts w:ascii="Arial" w:hAnsi="Arial" w:cs="Arial"/>
                <w:sz w:val="20"/>
                <w:szCs w:val="20"/>
              </w:rPr>
              <w:t>$17,036</w:t>
            </w:r>
          </w:p>
        </w:tc>
        <w:tc>
          <w:tcPr>
            <w:tcW w:w="1476" w:type="dxa"/>
            <w:shd w:val="clear" w:color="auto" w:fill="auto"/>
          </w:tcPr>
          <w:p w:rsidR="003B4956" w:rsidRPr="00F76638" w:rsidRDefault="001D4897" w:rsidP="00F76638">
            <w:pPr>
              <w:jc w:val="center"/>
              <w:rPr>
                <w:rFonts w:ascii="Arial" w:hAnsi="Arial" w:cs="Arial"/>
                <w:sz w:val="20"/>
                <w:szCs w:val="20"/>
              </w:rPr>
            </w:pPr>
            <w:r w:rsidRPr="00F76638">
              <w:rPr>
                <w:rFonts w:ascii="Arial" w:hAnsi="Arial" w:cs="Arial"/>
                <w:sz w:val="20"/>
                <w:szCs w:val="20"/>
              </w:rPr>
              <w:t>83%</w:t>
            </w:r>
          </w:p>
        </w:tc>
        <w:tc>
          <w:tcPr>
            <w:tcW w:w="1476" w:type="dxa"/>
            <w:shd w:val="clear" w:color="auto" w:fill="auto"/>
          </w:tcPr>
          <w:p w:rsidR="003B4956" w:rsidRPr="00F76638" w:rsidRDefault="001D4897" w:rsidP="00F76638">
            <w:pPr>
              <w:jc w:val="center"/>
              <w:rPr>
                <w:rFonts w:ascii="Arial" w:hAnsi="Arial" w:cs="Arial"/>
                <w:sz w:val="20"/>
                <w:szCs w:val="20"/>
              </w:rPr>
            </w:pPr>
            <w:r w:rsidRPr="00F76638">
              <w:rPr>
                <w:rFonts w:ascii="Arial" w:hAnsi="Arial" w:cs="Arial"/>
                <w:sz w:val="20"/>
                <w:szCs w:val="20"/>
              </w:rPr>
              <w:t>Yes</w:t>
            </w:r>
          </w:p>
        </w:tc>
        <w:tc>
          <w:tcPr>
            <w:tcW w:w="1476" w:type="dxa"/>
            <w:shd w:val="clear" w:color="auto" w:fill="auto"/>
          </w:tcPr>
          <w:p w:rsidR="003B4956" w:rsidRPr="00F76638" w:rsidRDefault="003B4956" w:rsidP="00F76638">
            <w:pPr>
              <w:jc w:val="center"/>
              <w:rPr>
                <w:rFonts w:ascii="Arial" w:hAnsi="Arial" w:cs="Arial"/>
                <w:sz w:val="20"/>
                <w:szCs w:val="20"/>
              </w:rPr>
            </w:pPr>
          </w:p>
        </w:tc>
        <w:tc>
          <w:tcPr>
            <w:tcW w:w="1476" w:type="dxa"/>
            <w:shd w:val="clear" w:color="auto" w:fill="auto"/>
          </w:tcPr>
          <w:p w:rsidR="003B4956" w:rsidRPr="00F76638" w:rsidRDefault="003B4956" w:rsidP="00F76638">
            <w:pPr>
              <w:jc w:val="center"/>
              <w:rPr>
                <w:rFonts w:ascii="Arial" w:hAnsi="Arial" w:cs="Arial"/>
                <w:sz w:val="20"/>
                <w:szCs w:val="20"/>
              </w:rPr>
            </w:pPr>
          </w:p>
        </w:tc>
      </w:tr>
      <w:tr w:rsidR="003B4956" w:rsidRPr="00F76638" w:rsidTr="00F76638">
        <w:tc>
          <w:tcPr>
            <w:tcW w:w="1476" w:type="dxa"/>
            <w:shd w:val="clear" w:color="auto" w:fill="auto"/>
          </w:tcPr>
          <w:p w:rsidR="003B4956" w:rsidRPr="00F76638" w:rsidRDefault="003B4956">
            <w:pPr>
              <w:rPr>
                <w:rFonts w:ascii="Arial" w:hAnsi="Arial" w:cs="Arial"/>
                <w:sz w:val="20"/>
                <w:szCs w:val="20"/>
              </w:rPr>
            </w:pPr>
            <w:smartTag w:uri="urn:schemas-microsoft-com:office:smarttags" w:element="State">
              <w:smartTag w:uri="urn:schemas-microsoft-com:office:smarttags" w:element="place">
                <w:r w:rsidRPr="00F76638">
                  <w:rPr>
                    <w:rFonts w:ascii="Arial" w:hAnsi="Arial" w:cs="Arial"/>
                    <w:sz w:val="20"/>
                    <w:szCs w:val="20"/>
                  </w:rPr>
                  <w:t>Wisconsin</w:t>
                </w:r>
              </w:smartTag>
            </w:smartTag>
          </w:p>
        </w:tc>
        <w:tc>
          <w:tcPr>
            <w:tcW w:w="1476" w:type="dxa"/>
            <w:shd w:val="clear" w:color="auto" w:fill="auto"/>
          </w:tcPr>
          <w:p w:rsidR="003B4956" w:rsidRPr="00F76638" w:rsidRDefault="003B4956" w:rsidP="00F76638">
            <w:pPr>
              <w:jc w:val="center"/>
              <w:rPr>
                <w:rFonts w:ascii="Arial" w:hAnsi="Arial" w:cs="Arial"/>
                <w:sz w:val="20"/>
                <w:szCs w:val="20"/>
              </w:rPr>
            </w:pPr>
            <w:r w:rsidRPr="00F76638">
              <w:rPr>
                <w:rFonts w:ascii="Arial" w:hAnsi="Arial" w:cs="Arial"/>
                <w:sz w:val="20"/>
                <w:szCs w:val="20"/>
              </w:rPr>
              <w:t>$15,981</w:t>
            </w:r>
          </w:p>
        </w:tc>
        <w:tc>
          <w:tcPr>
            <w:tcW w:w="1476" w:type="dxa"/>
            <w:shd w:val="clear" w:color="auto" w:fill="auto"/>
          </w:tcPr>
          <w:p w:rsidR="003B4956" w:rsidRPr="00F76638" w:rsidRDefault="001D4897" w:rsidP="00F76638">
            <w:pPr>
              <w:jc w:val="center"/>
              <w:rPr>
                <w:rFonts w:ascii="Arial" w:hAnsi="Arial" w:cs="Arial"/>
                <w:sz w:val="20"/>
                <w:szCs w:val="20"/>
              </w:rPr>
            </w:pPr>
            <w:r w:rsidRPr="00F76638">
              <w:rPr>
                <w:rFonts w:ascii="Arial" w:hAnsi="Arial" w:cs="Arial"/>
                <w:sz w:val="20"/>
                <w:szCs w:val="20"/>
              </w:rPr>
              <w:t>78%</w:t>
            </w:r>
          </w:p>
        </w:tc>
        <w:tc>
          <w:tcPr>
            <w:tcW w:w="1476" w:type="dxa"/>
            <w:shd w:val="clear" w:color="auto" w:fill="auto"/>
          </w:tcPr>
          <w:p w:rsidR="003B4956" w:rsidRPr="00F76638" w:rsidRDefault="001D4897" w:rsidP="00F76638">
            <w:pPr>
              <w:jc w:val="center"/>
              <w:rPr>
                <w:rFonts w:ascii="Arial" w:hAnsi="Arial" w:cs="Arial"/>
                <w:sz w:val="20"/>
                <w:szCs w:val="20"/>
              </w:rPr>
            </w:pPr>
            <w:r w:rsidRPr="00F76638">
              <w:rPr>
                <w:rFonts w:ascii="Arial" w:hAnsi="Arial" w:cs="Arial"/>
                <w:sz w:val="20"/>
                <w:szCs w:val="20"/>
              </w:rPr>
              <w:t>Yes</w:t>
            </w:r>
          </w:p>
        </w:tc>
        <w:tc>
          <w:tcPr>
            <w:tcW w:w="1476" w:type="dxa"/>
            <w:shd w:val="clear" w:color="auto" w:fill="auto"/>
          </w:tcPr>
          <w:p w:rsidR="003B4956" w:rsidRPr="00F76638" w:rsidRDefault="003B4956" w:rsidP="00F76638">
            <w:pPr>
              <w:jc w:val="center"/>
              <w:rPr>
                <w:rFonts w:ascii="Arial" w:hAnsi="Arial" w:cs="Arial"/>
                <w:sz w:val="20"/>
                <w:szCs w:val="20"/>
              </w:rPr>
            </w:pPr>
          </w:p>
        </w:tc>
        <w:tc>
          <w:tcPr>
            <w:tcW w:w="1476" w:type="dxa"/>
            <w:shd w:val="clear" w:color="auto" w:fill="auto"/>
          </w:tcPr>
          <w:p w:rsidR="003B4956" w:rsidRPr="00F76638" w:rsidRDefault="001D4897" w:rsidP="00F76638">
            <w:pPr>
              <w:jc w:val="center"/>
              <w:rPr>
                <w:rFonts w:ascii="Arial" w:hAnsi="Arial" w:cs="Arial"/>
                <w:sz w:val="20"/>
                <w:szCs w:val="20"/>
              </w:rPr>
            </w:pPr>
            <w:r w:rsidRPr="00F76638">
              <w:rPr>
                <w:rFonts w:ascii="Arial" w:hAnsi="Arial" w:cs="Arial"/>
                <w:sz w:val="20"/>
                <w:szCs w:val="20"/>
              </w:rPr>
              <w:t>Yes</w:t>
            </w:r>
          </w:p>
        </w:tc>
      </w:tr>
      <w:tr w:rsidR="003B4956" w:rsidRPr="00F76638" w:rsidTr="00F76638">
        <w:tc>
          <w:tcPr>
            <w:tcW w:w="1476" w:type="dxa"/>
            <w:shd w:val="clear" w:color="auto" w:fill="auto"/>
          </w:tcPr>
          <w:p w:rsidR="003B4956" w:rsidRPr="00F76638" w:rsidRDefault="003B4956">
            <w:pPr>
              <w:rPr>
                <w:rFonts w:ascii="Arial" w:hAnsi="Arial" w:cs="Arial"/>
                <w:sz w:val="20"/>
                <w:szCs w:val="20"/>
              </w:rPr>
            </w:pPr>
            <w:smartTag w:uri="urn:schemas-microsoft-com:office:smarttags" w:element="State">
              <w:smartTag w:uri="urn:schemas-microsoft-com:office:smarttags" w:element="place">
                <w:r w:rsidRPr="00F76638">
                  <w:rPr>
                    <w:rFonts w:ascii="Arial" w:hAnsi="Arial" w:cs="Arial"/>
                    <w:sz w:val="20"/>
                    <w:szCs w:val="20"/>
                  </w:rPr>
                  <w:t>Minnesota</w:t>
                </w:r>
              </w:smartTag>
            </w:smartTag>
          </w:p>
        </w:tc>
        <w:tc>
          <w:tcPr>
            <w:tcW w:w="1476" w:type="dxa"/>
            <w:shd w:val="clear" w:color="auto" w:fill="auto"/>
          </w:tcPr>
          <w:p w:rsidR="003B4956" w:rsidRPr="00F76638" w:rsidRDefault="001D4897" w:rsidP="00F76638">
            <w:pPr>
              <w:jc w:val="center"/>
              <w:rPr>
                <w:rFonts w:ascii="Arial" w:hAnsi="Arial" w:cs="Arial"/>
                <w:sz w:val="20"/>
                <w:szCs w:val="20"/>
              </w:rPr>
            </w:pPr>
            <w:r w:rsidRPr="00F76638">
              <w:rPr>
                <w:rFonts w:ascii="Arial" w:hAnsi="Arial" w:cs="Arial"/>
                <w:sz w:val="20"/>
                <w:szCs w:val="20"/>
              </w:rPr>
              <w:t>$12,517</w:t>
            </w:r>
          </w:p>
        </w:tc>
        <w:tc>
          <w:tcPr>
            <w:tcW w:w="1476" w:type="dxa"/>
            <w:shd w:val="clear" w:color="auto" w:fill="auto"/>
          </w:tcPr>
          <w:p w:rsidR="003B4956" w:rsidRPr="00F76638" w:rsidRDefault="001D4897" w:rsidP="00F76638">
            <w:pPr>
              <w:jc w:val="center"/>
              <w:rPr>
                <w:rFonts w:ascii="Arial" w:hAnsi="Arial" w:cs="Arial"/>
                <w:sz w:val="20"/>
                <w:szCs w:val="20"/>
              </w:rPr>
            </w:pPr>
            <w:r w:rsidRPr="00F76638">
              <w:rPr>
                <w:rFonts w:ascii="Arial" w:hAnsi="Arial" w:cs="Arial"/>
                <w:sz w:val="20"/>
                <w:szCs w:val="20"/>
              </w:rPr>
              <w:t>61%</w:t>
            </w:r>
          </w:p>
        </w:tc>
        <w:tc>
          <w:tcPr>
            <w:tcW w:w="1476" w:type="dxa"/>
            <w:shd w:val="clear" w:color="auto" w:fill="auto"/>
          </w:tcPr>
          <w:p w:rsidR="003B4956" w:rsidRPr="00F76638" w:rsidRDefault="003B4956" w:rsidP="00F76638">
            <w:pPr>
              <w:jc w:val="center"/>
              <w:rPr>
                <w:rFonts w:ascii="Arial" w:hAnsi="Arial" w:cs="Arial"/>
                <w:sz w:val="20"/>
                <w:szCs w:val="20"/>
              </w:rPr>
            </w:pPr>
          </w:p>
        </w:tc>
        <w:tc>
          <w:tcPr>
            <w:tcW w:w="1476" w:type="dxa"/>
            <w:shd w:val="clear" w:color="auto" w:fill="auto"/>
          </w:tcPr>
          <w:p w:rsidR="003B4956" w:rsidRPr="00F76638" w:rsidRDefault="001D4897" w:rsidP="00F76638">
            <w:pPr>
              <w:jc w:val="center"/>
              <w:rPr>
                <w:rFonts w:ascii="Arial" w:hAnsi="Arial" w:cs="Arial"/>
                <w:sz w:val="20"/>
                <w:szCs w:val="20"/>
              </w:rPr>
            </w:pPr>
            <w:r w:rsidRPr="00F76638">
              <w:rPr>
                <w:rFonts w:ascii="Arial" w:hAnsi="Arial" w:cs="Arial"/>
                <w:sz w:val="20"/>
                <w:szCs w:val="20"/>
              </w:rPr>
              <w:t>Yes</w:t>
            </w:r>
          </w:p>
        </w:tc>
        <w:tc>
          <w:tcPr>
            <w:tcW w:w="1476" w:type="dxa"/>
            <w:shd w:val="clear" w:color="auto" w:fill="auto"/>
          </w:tcPr>
          <w:p w:rsidR="003B4956" w:rsidRPr="00F76638" w:rsidRDefault="001D4897" w:rsidP="00F76638">
            <w:pPr>
              <w:jc w:val="center"/>
              <w:rPr>
                <w:rFonts w:ascii="Arial" w:hAnsi="Arial" w:cs="Arial"/>
                <w:sz w:val="20"/>
                <w:szCs w:val="20"/>
              </w:rPr>
            </w:pPr>
            <w:r w:rsidRPr="00F76638">
              <w:rPr>
                <w:rFonts w:ascii="Arial" w:hAnsi="Arial" w:cs="Arial"/>
                <w:sz w:val="20"/>
                <w:szCs w:val="20"/>
              </w:rPr>
              <w:t>Yes</w:t>
            </w:r>
          </w:p>
        </w:tc>
      </w:tr>
      <w:tr w:rsidR="003B4956" w:rsidRPr="00F76638" w:rsidTr="00F76638">
        <w:tc>
          <w:tcPr>
            <w:tcW w:w="1476" w:type="dxa"/>
            <w:shd w:val="clear" w:color="auto" w:fill="auto"/>
          </w:tcPr>
          <w:p w:rsidR="003B4956" w:rsidRPr="00F76638" w:rsidRDefault="003B4956">
            <w:pPr>
              <w:rPr>
                <w:rFonts w:ascii="Arial" w:hAnsi="Arial" w:cs="Arial"/>
                <w:sz w:val="20"/>
                <w:szCs w:val="20"/>
              </w:rPr>
            </w:pPr>
            <w:smartTag w:uri="urn:schemas-microsoft-com:office:smarttags" w:element="State">
              <w:smartTag w:uri="urn:schemas-microsoft-com:office:smarttags" w:element="place">
                <w:r w:rsidRPr="00F76638">
                  <w:rPr>
                    <w:rFonts w:ascii="Arial" w:hAnsi="Arial" w:cs="Arial"/>
                    <w:sz w:val="20"/>
                    <w:szCs w:val="20"/>
                  </w:rPr>
                  <w:t>Nebraska</w:t>
                </w:r>
              </w:smartTag>
            </w:smartTag>
          </w:p>
        </w:tc>
        <w:tc>
          <w:tcPr>
            <w:tcW w:w="1476" w:type="dxa"/>
            <w:shd w:val="clear" w:color="auto" w:fill="auto"/>
          </w:tcPr>
          <w:p w:rsidR="003B4956" w:rsidRPr="00F76638" w:rsidRDefault="001D4897" w:rsidP="00F76638">
            <w:pPr>
              <w:jc w:val="center"/>
              <w:rPr>
                <w:rFonts w:ascii="Arial" w:hAnsi="Arial" w:cs="Arial"/>
                <w:sz w:val="20"/>
                <w:szCs w:val="20"/>
              </w:rPr>
            </w:pPr>
            <w:r w:rsidRPr="00F76638">
              <w:rPr>
                <w:rFonts w:ascii="Arial" w:hAnsi="Arial" w:cs="Arial"/>
                <w:sz w:val="20"/>
                <w:szCs w:val="20"/>
              </w:rPr>
              <w:t>$11,523</w:t>
            </w:r>
          </w:p>
        </w:tc>
        <w:tc>
          <w:tcPr>
            <w:tcW w:w="1476" w:type="dxa"/>
            <w:shd w:val="clear" w:color="auto" w:fill="auto"/>
          </w:tcPr>
          <w:p w:rsidR="003B4956" w:rsidRPr="00F76638" w:rsidRDefault="001D4897" w:rsidP="00F76638">
            <w:pPr>
              <w:jc w:val="center"/>
              <w:rPr>
                <w:rFonts w:ascii="Arial" w:hAnsi="Arial" w:cs="Arial"/>
                <w:sz w:val="20"/>
                <w:szCs w:val="20"/>
              </w:rPr>
            </w:pPr>
            <w:r w:rsidRPr="00F76638">
              <w:rPr>
                <w:rFonts w:ascii="Arial" w:hAnsi="Arial" w:cs="Arial"/>
                <w:sz w:val="20"/>
                <w:szCs w:val="20"/>
              </w:rPr>
              <w:t>56%</w:t>
            </w:r>
          </w:p>
        </w:tc>
        <w:tc>
          <w:tcPr>
            <w:tcW w:w="1476" w:type="dxa"/>
            <w:shd w:val="clear" w:color="auto" w:fill="auto"/>
          </w:tcPr>
          <w:p w:rsidR="003B4956" w:rsidRPr="00F76638" w:rsidRDefault="001D4897" w:rsidP="00F76638">
            <w:pPr>
              <w:jc w:val="center"/>
              <w:rPr>
                <w:rFonts w:ascii="Arial" w:hAnsi="Arial" w:cs="Arial"/>
                <w:sz w:val="20"/>
                <w:szCs w:val="20"/>
              </w:rPr>
            </w:pPr>
            <w:r w:rsidRPr="00F76638">
              <w:rPr>
                <w:rFonts w:ascii="Arial" w:hAnsi="Arial" w:cs="Arial"/>
                <w:sz w:val="20"/>
                <w:szCs w:val="20"/>
              </w:rPr>
              <w:t>Yes</w:t>
            </w:r>
          </w:p>
        </w:tc>
        <w:tc>
          <w:tcPr>
            <w:tcW w:w="1476" w:type="dxa"/>
            <w:shd w:val="clear" w:color="auto" w:fill="auto"/>
          </w:tcPr>
          <w:p w:rsidR="003B4956" w:rsidRPr="00F76638" w:rsidRDefault="003B4956" w:rsidP="00F76638">
            <w:pPr>
              <w:jc w:val="center"/>
              <w:rPr>
                <w:rFonts w:ascii="Arial" w:hAnsi="Arial" w:cs="Arial"/>
                <w:sz w:val="20"/>
                <w:szCs w:val="20"/>
              </w:rPr>
            </w:pPr>
          </w:p>
        </w:tc>
        <w:tc>
          <w:tcPr>
            <w:tcW w:w="1476" w:type="dxa"/>
            <w:shd w:val="clear" w:color="auto" w:fill="auto"/>
          </w:tcPr>
          <w:p w:rsidR="003B4956" w:rsidRPr="00F76638" w:rsidRDefault="003B4956" w:rsidP="00F76638">
            <w:pPr>
              <w:jc w:val="center"/>
              <w:rPr>
                <w:rFonts w:ascii="Arial" w:hAnsi="Arial" w:cs="Arial"/>
                <w:sz w:val="20"/>
                <w:szCs w:val="20"/>
              </w:rPr>
            </w:pPr>
          </w:p>
        </w:tc>
      </w:tr>
    </w:tbl>
    <w:p w:rsidR="00D302F5" w:rsidRPr="00F01B67" w:rsidRDefault="00D302F5" w:rsidP="00D302F5">
      <w:pPr>
        <w:autoSpaceDE w:val="0"/>
        <w:autoSpaceDN w:val="0"/>
        <w:adjustRightInd w:val="0"/>
        <w:rPr>
          <w:rFonts w:ascii="Arial" w:hAnsi="Arial" w:cs="Arial"/>
          <w:color w:val="000000"/>
        </w:rPr>
      </w:pPr>
    </w:p>
    <w:p w:rsidR="00D302F5" w:rsidRPr="008B4E34" w:rsidRDefault="00992C08" w:rsidP="00D302F5">
      <w:pPr>
        <w:autoSpaceDE w:val="0"/>
        <w:autoSpaceDN w:val="0"/>
        <w:adjustRightInd w:val="0"/>
        <w:rPr>
          <w:color w:val="000000"/>
        </w:rPr>
      </w:pPr>
      <w:r w:rsidRPr="008B4E34">
        <w:rPr>
          <w:color w:val="000000"/>
        </w:rPr>
        <w:t xml:space="preserve">In addition to the cost of medical liability insurance, the current tort system imposes additional burdens on patients and health care providers.  </w:t>
      </w:r>
      <w:r w:rsidR="00D302F5" w:rsidRPr="008B4E34">
        <w:rPr>
          <w:color w:val="000000"/>
        </w:rPr>
        <w:t xml:space="preserve">Iowa medical liability suits take longer to resolve and cost more to defend than </w:t>
      </w:r>
      <w:r w:rsidR="00F01B67" w:rsidRPr="008B4E34">
        <w:rPr>
          <w:color w:val="000000"/>
        </w:rPr>
        <w:t xml:space="preserve">in </w:t>
      </w:r>
      <w:r w:rsidR="00D302F5" w:rsidRPr="008B4E34">
        <w:rPr>
          <w:color w:val="000000"/>
        </w:rPr>
        <w:t>neighboring states.</w:t>
      </w:r>
      <w:r w:rsidR="0007150E" w:rsidRPr="008B4E34">
        <w:rPr>
          <w:color w:val="000000"/>
          <w:vertAlign w:val="superscript"/>
        </w:rPr>
        <w:t>4</w:t>
      </w:r>
      <w:r w:rsidR="00D302F5" w:rsidRPr="008B4E34">
        <w:rPr>
          <w:color w:val="000000"/>
        </w:rPr>
        <w:t xml:space="preserve"> </w:t>
      </w:r>
    </w:p>
    <w:p w:rsidR="00992C08" w:rsidRPr="008B4E34" w:rsidRDefault="00992C08" w:rsidP="00D302F5">
      <w:pPr>
        <w:autoSpaceDE w:val="0"/>
        <w:autoSpaceDN w:val="0"/>
        <w:adjustRightInd w:val="0"/>
        <w:rPr>
          <w:color w:val="000000"/>
        </w:rPr>
      </w:pPr>
    </w:p>
    <w:p w:rsidR="00D302F5" w:rsidRPr="008B4E34" w:rsidRDefault="00D302F5" w:rsidP="00D302F5">
      <w:pPr>
        <w:autoSpaceDE w:val="0"/>
        <w:autoSpaceDN w:val="0"/>
        <w:adjustRightInd w:val="0"/>
        <w:rPr>
          <w:color w:val="000000"/>
        </w:rPr>
      </w:pPr>
      <w:r w:rsidRPr="008B4E34">
        <w:rPr>
          <w:color w:val="000000"/>
        </w:rPr>
        <w:t>The average physician spends over 10% of his or her career with an on-going medical liability claim.</w:t>
      </w:r>
      <w:r w:rsidR="0007150E" w:rsidRPr="008B4E34">
        <w:rPr>
          <w:color w:val="000000"/>
          <w:vertAlign w:val="superscript"/>
        </w:rPr>
        <w:t>5</w:t>
      </w:r>
      <w:r w:rsidRPr="008B4E34">
        <w:rPr>
          <w:color w:val="000000"/>
        </w:rPr>
        <w:t xml:space="preserve"> </w:t>
      </w:r>
      <w:r w:rsidR="00DF0FEC" w:rsidRPr="008B4E34">
        <w:rPr>
          <w:color w:val="000000"/>
        </w:rPr>
        <w:t xml:space="preserve">  Yet o</w:t>
      </w:r>
      <w:r w:rsidRPr="008B4E34">
        <w:rPr>
          <w:color w:val="000000"/>
        </w:rPr>
        <w:t>f the medical liability claims closed in 2013, 65% were dropped, dismissed, or withdrawn; of those claims that went to trial, 91% were won by the physician.</w:t>
      </w:r>
      <w:r w:rsidR="0007150E" w:rsidRPr="008B4E34">
        <w:rPr>
          <w:color w:val="000000"/>
          <w:vertAlign w:val="superscript"/>
        </w:rPr>
        <w:t>6</w:t>
      </w:r>
      <w:r w:rsidRPr="008B4E34">
        <w:rPr>
          <w:color w:val="000000"/>
          <w:vertAlign w:val="superscript"/>
        </w:rPr>
        <w:t xml:space="preserve"> </w:t>
      </w:r>
      <w:r w:rsidR="00DF0FEC" w:rsidRPr="008B4E34">
        <w:rPr>
          <w:color w:val="000000"/>
          <w:vertAlign w:val="superscript"/>
        </w:rPr>
        <w:t xml:space="preserve">  </w:t>
      </w:r>
      <w:r w:rsidR="00DF0FEC" w:rsidRPr="008B4E34">
        <w:rPr>
          <w:color w:val="000000"/>
        </w:rPr>
        <w:t xml:space="preserve">The expenses associated with these claims adds an additional burden to the cost of providing healthcare.  </w:t>
      </w:r>
      <w:r w:rsidR="00B85111" w:rsidRPr="008B4E34">
        <w:rPr>
          <w:color w:val="000000"/>
        </w:rPr>
        <w:t xml:space="preserve">Additionally, defensive medicine, the practice of physicians fearful of a lawsuit performing unnecessary test just to ensure </w:t>
      </w:r>
      <w:r w:rsidR="0007150E" w:rsidRPr="008B4E34">
        <w:rPr>
          <w:color w:val="000000"/>
        </w:rPr>
        <w:t>that even the most unlikely of findings is not missed</w:t>
      </w:r>
      <w:r w:rsidR="00B85111" w:rsidRPr="008B4E34">
        <w:rPr>
          <w:color w:val="000000"/>
        </w:rPr>
        <w:t>, adds significant expenses to the health care system</w:t>
      </w:r>
      <w:r w:rsidR="00DF0FEC" w:rsidRPr="008B4E34">
        <w:rPr>
          <w:color w:val="000000"/>
        </w:rPr>
        <w:t>.</w:t>
      </w:r>
    </w:p>
    <w:p w:rsidR="00DF0FEC" w:rsidRPr="008B4E34" w:rsidRDefault="00DF0FEC" w:rsidP="00D302F5">
      <w:pPr>
        <w:autoSpaceDE w:val="0"/>
        <w:autoSpaceDN w:val="0"/>
        <w:adjustRightInd w:val="0"/>
        <w:rPr>
          <w:color w:val="000000"/>
        </w:rPr>
      </w:pPr>
    </w:p>
    <w:p w:rsidR="00D302F5" w:rsidRPr="008B4E34" w:rsidRDefault="00DF0FEC" w:rsidP="00D302F5">
      <w:pPr>
        <w:autoSpaceDE w:val="0"/>
        <w:autoSpaceDN w:val="0"/>
        <w:adjustRightInd w:val="0"/>
        <w:rPr>
          <w:color w:val="000000"/>
        </w:rPr>
      </w:pPr>
      <w:r w:rsidRPr="008B4E34">
        <w:rPr>
          <w:color w:val="000000"/>
        </w:rPr>
        <w:t>IOMA believes that medical liability reform improves the healthcare system.</w:t>
      </w:r>
    </w:p>
    <w:p w:rsidR="00DF0FEC" w:rsidRPr="008B4E34" w:rsidRDefault="00DF0FEC" w:rsidP="00D302F5">
      <w:pPr>
        <w:autoSpaceDE w:val="0"/>
        <w:autoSpaceDN w:val="0"/>
        <w:adjustRightInd w:val="0"/>
        <w:rPr>
          <w:color w:val="000000"/>
        </w:rPr>
      </w:pPr>
    </w:p>
    <w:p w:rsidR="00D302F5" w:rsidRPr="008B4E34" w:rsidRDefault="00D302F5" w:rsidP="00D302F5">
      <w:pPr>
        <w:autoSpaceDE w:val="0"/>
        <w:autoSpaceDN w:val="0"/>
        <w:adjustRightInd w:val="0"/>
        <w:rPr>
          <w:color w:val="000000"/>
        </w:rPr>
      </w:pPr>
      <w:r w:rsidRPr="008B4E34">
        <w:rPr>
          <w:color w:val="000000"/>
        </w:rPr>
        <w:lastRenderedPageBreak/>
        <w:t>Numerous studies have found that caps on non</w:t>
      </w:r>
      <w:r w:rsidR="00F01B67" w:rsidRPr="008B4E34">
        <w:rPr>
          <w:color w:val="000000"/>
        </w:rPr>
        <w:t>-</w:t>
      </w:r>
      <w:r w:rsidRPr="008B4E34">
        <w:rPr>
          <w:color w:val="000000"/>
        </w:rPr>
        <w:t>economic damages improve access to patient care, reduce medical liability insurance premiums by 17% or more, and reduce overall costs to the healthcare system.</w:t>
      </w:r>
      <w:r w:rsidR="0007150E" w:rsidRPr="008B4E34">
        <w:rPr>
          <w:color w:val="000000"/>
          <w:vertAlign w:val="superscript"/>
        </w:rPr>
        <w:t>7</w:t>
      </w:r>
      <w:r w:rsidRPr="008B4E34">
        <w:rPr>
          <w:color w:val="000000"/>
          <w:vertAlign w:val="superscript"/>
        </w:rPr>
        <w:t xml:space="preserve"> </w:t>
      </w:r>
    </w:p>
    <w:p w:rsidR="00E61C40" w:rsidRPr="008B4E34" w:rsidRDefault="00E61C40" w:rsidP="00D302F5">
      <w:pPr>
        <w:autoSpaceDE w:val="0"/>
        <w:autoSpaceDN w:val="0"/>
        <w:adjustRightInd w:val="0"/>
        <w:rPr>
          <w:color w:val="000000"/>
        </w:rPr>
      </w:pPr>
    </w:p>
    <w:p w:rsidR="00D302F5" w:rsidRPr="008B4E34" w:rsidRDefault="00D302F5" w:rsidP="00D302F5">
      <w:pPr>
        <w:autoSpaceDE w:val="0"/>
        <w:autoSpaceDN w:val="0"/>
        <w:adjustRightInd w:val="0"/>
        <w:rPr>
          <w:color w:val="000000"/>
        </w:rPr>
      </w:pPr>
      <w:r w:rsidRPr="008B4E34">
        <w:rPr>
          <w:color w:val="000000"/>
        </w:rPr>
        <w:t>States with malpractice reforms have seen an increase in the number of practicing physicians.</w:t>
      </w:r>
      <w:r w:rsidR="0007150E" w:rsidRPr="008B4E34">
        <w:rPr>
          <w:color w:val="000000"/>
          <w:vertAlign w:val="superscript"/>
        </w:rPr>
        <w:t>8</w:t>
      </w:r>
      <w:r w:rsidRPr="008B4E34">
        <w:rPr>
          <w:color w:val="000000"/>
        </w:rPr>
        <w:t xml:space="preserve"> </w:t>
      </w:r>
    </w:p>
    <w:p w:rsidR="00E61C40" w:rsidRPr="008B4E34" w:rsidRDefault="00E61C40" w:rsidP="00D302F5">
      <w:pPr>
        <w:autoSpaceDE w:val="0"/>
        <w:autoSpaceDN w:val="0"/>
        <w:adjustRightInd w:val="0"/>
        <w:rPr>
          <w:color w:val="000000"/>
        </w:rPr>
      </w:pPr>
    </w:p>
    <w:p w:rsidR="00E61C40" w:rsidRPr="008B4E34" w:rsidRDefault="00D302F5" w:rsidP="003A51F2">
      <w:pPr>
        <w:rPr>
          <w:color w:val="000000"/>
        </w:rPr>
      </w:pPr>
      <w:r w:rsidRPr="008B4E34">
        <w:rPr>
          <w:color w:val="000000"/>
        </w:rPr>
        <w:t>Surveys of medical residents show</w:t>
      </w:r>
      <w:r w:rsidR="00B85111" w:rsidRPr="008B4E34">
        <w:rPr>
          <w:color w:val="000000"/>
        </w:rPr>
        <w:t xml:space="preserve"> that</w:t>
      </w:r>
      <w:r w:rsidRPr="008B4E34">
        <w:rPr>
          <w:color w:val="000000"/>
        </w:rPr>
        <w:t xml:space="preserve"> the malpractice climate </w:t>
      </w:r>
      <w:r w:rsidR="00B85111" w:rsidRPr="008B4E34">
        <w:rPr>
          <w:color w:val="000000"/>
        </w:rPr>
        <w:t xml:space="preserve">of a location </w:t>
      </w:r>
      <w:r w:rsidRPr="008B4E34">
        <w:rPr>
          <w:color w:val="000000"/>
        </w:rPr>
        <w:t>is an important factor in their determination of where to practice.</w:t>
      </w:r>
      <w:r w:rsidR="0007150E" w:rsidRPr="008B4E34">
        <w:rPr>
          <w:color w:val="000000"/>
          <w:vertAlign w:val="superscript"/>
        </w:rPr>
        <w:t>9</w:t>
      </w:r>
    </w:p>
    <w:p w:rsidR="00E61C40" w:rsidRPr="008B4E34" w:rsidRDefault="00E61C40" w:rsidP="00D302F5">
      <w:pPr>
        <w:autoSpaceDE w:val="0"/>
        <w:autoSpaceDN w:val="0"/>
        <w:adjustRightInd w:val="0"/>
        <w:rPr>
          <w:color w:val="000000"/>
        </w:rPr>
      </w:pPr>
      <w:r w:rsidRPr="008B4E34">
        <w:rPr>
          <w:color w:val="000000"/>
        </w:rPr>
        <w:t>The Iowa Osteopathic Medical Association proposes and encourages the enactment of these medical liability reforms.</w:t>
      </w:r>
    </w:p>
    <w:p w:rsidR="00E61C40" w:rsidRPr="008B4E34" w:rsidRDefault="00E61C40" w:rsidP="00D302F5">
      <w:pPr>
        <w:autoSpaceDE w:val="0"/>
        <w:autoSpaceDN w:val="0"/>
        <w:adjustRightInd w:val="0"/>
        <w:rPr>
          <w:color w:val="000000"/>
        </w:rPr>
      </w:pPr>
    </w:p>
    <w:p w:rsidR="00D302F5" w:rsidRPr="008B4E34" w:rsidRDefault="00D302F5" w:rsidP="00D302F5">
      <w:pPr>
        <w:autoSpaceDE w:val="0"/>
        <w:autoSpaceDN w:val="0"/>
        <w:adjustRightInd w:val="0"/>
        <w:rPr>
          <w:b/>
          <w:color w:val="000000"/>
        </w:rPr>
      </w:pPr>
      <w:r w:rsidRPr="008B4E34">
        <w:rPr>
          <w:b/>
          <w:color w:val="000000"/>
        </w:rPr>
        <w:t>Caps on Non</w:t>
      </w:r>
      <w:r w:rsidR="00E61C40" w:rsidRPr="008B4E34">
        <w:rPr>
          <w:b/>
          <w:color w:val="000000"/>
        </w:rPr>
        <w:t>-</w:t>
      </w:r>
      <w:r w:rsidRPr="008B4E34">
        <w:rPr>
          <w:b/>
          <w:color w:val="000000"/>
        </w:rPr>
        <w:t xml:space="preserve">economic Damages </w:t>
      </w:r>
    </w:p>
    <w:p w:rsidR="00D302F5" w:rsidRPr="008B4E34" w:rsidRDefault="00D302F5" w:rsidP="00D302F5">
      <w:pPr>
        <w:autoSpaceDE w:val="0"/>
        <w:autoSpaceDN w:val="0"/>
        <w:adjustRightInd w:val="0"/>
        <w:rPr>
          <w:color w:val="000000"/>
        </w:rPr>
      </w:pPr>
      <w:r w:rsidRPr="008B4E34">
        <w:rPr>
          <w:color w:val="000000"/>
        </w:rPr>
        <w:t>A $250,000 cap on non</w:t>
      </w:r>
      <w:r w:rsidR="00E61C40" w:rsidRPr="008B4E34">
        <w:rPr>
          <w:color w:val="000000"/>
        </w:rPr>
        <w:t>-</w:t>
      </w:r>
      <w:r w:rsidRPr="008B4E34">
        <w:rPr>
          <w:color w:val="000000"/>
        </w:rPr>
        <w:t>economic damages brings predictability to the market, which lowers medical liability insurance premiums and reduces overall healthcare costs. This is one of the oldest medical liability reforms in the county and ha</w:t>
      </w:r>
      <w:r w:rsidR="003A51F2" w:rsidRPr="008B4E34">
        <w:rPr>
          <w:color w:val="000000"/>
        </w:rPr>
        <w:t>s</w:t>
      </w:r>
      <w:r w:rsidRPr="008B4E34">
        <w:rPr>
          <w:color w:val="000000"/>
        </w:rPr>
        <w:t xml:space="preserve"> been shown to improve the ability to recruit physicians resulting in increased access to care. </w:t>
      </w:r>
      <w:r w:rsidR="003A51F2" w:rsidRPr="008B4E34">
        <w:rPr>
          <w:color w:val="000000"/>
        </w:rPr>
        <w:t>Thirty five</w:t>
      </w:r>
      <w:r w:rsidRPr="008B4E34">
        <w:rPr>
          <w:color w:val="000000"/>
        </w:rPr>
        <w:t xml:space="preserve"> states have some form of this policy. </w:t>
      </w:r>
    </w:p>
    <w:p w:rsidR="00E61C40" w:rsidRPr="008B4E34" w:rsidRDefault="00E61C40" w:rsidP="00D302F5">
      <w:pPr>
        <w:autoSpaceDE w:val="0"/>
        <w:autoSpaceDN w:val="0"/>
        <w:adjustRightInd w:val="0"/>
        <w:rPr>
          <w:color w:val="000000"/>
        </w:rPr>
      </w:pPr>
    </w:p>
    <w:p w:rsidR="00E61C40" w:rsidRPr="008B4E34" w:rsidRDefault="001D019F" w:rsidP="00D302F5">
      <w:pPr>
        <w:autoSpaceDE w:val="0"/>
        <w:autoSpaceDN w:val="0"/>
        <w:adjustRightInd w:val="0"/>
        <w:rPr>
          <w:b/>
          <w:color w:val="000000"/>
        </w:rPr>
      </w:pPr>
      <w:r w:rsidRPr="008B4E34">
        <w:rPr>
          <w:b/>
          <w:color w:val="000000"/>
        </w:rPr>
        <w:t>P</w:t>
      </w:r>
      <w:r w:rsidR="00E61C40" w:rsidRPr="008B4E34">
        <w:rPr>
          <w:b/>
          <w:color w:val="000000"/>
        </w:rPr>
        <w:t>eriodic payment of future expenses or losses</w:t>
      </w:r>
    </w:p>
    <w:p w:rsidR="001D019F" w:rsidRPr="008B4E34" w:rsidRDefault="001D019F" w:rsidP="00D302F5">
      <w:pPr>
        <w:autoSpaceDE w:val="0"/>
        <w:autoSpaceDN w:val="0"/>
        <w:adjustRightInd w:val="0"/>
        <w:rPr>
          <w:color w:val="000000"/>
        </w:rPr>
      </w:pPr>
      <w:r w:rsidRPr="008B4E34">
        <w:rPr>
          <w:color w:val="000000"/>
        </w:rPr>
        <w:t>The goal of a medical liability settlement or verdict should be to compensate the injured patient for their loss and provide for their future care.  Granting a large single payment award to the patient carries with it the risk that the patient or more troubling, their caregiver, may inappropriately spend the</w:t>
      </w:r>
      <w:r w:rsidR="00B85111" w:rsidRPr="008B4E34">
        <w:rPr>
          <w:color w:val="000000"/>
        </w:rPr>
        <w:t>se</w:t>
      </w:r>
      <w:r w:rsidRPr="008B4E34">
        <w:rPr>
          <w:color w:val="000000"/>
        </w:rPr>
        <w:t xml:space="preserve"> funds.  Allowing payments to be made over time </w:t>
      </w:r>
      <w:r w:rsidR="00B85111" w:rsidRPr="008B4E34">
        <w:rPr>
          <w:color w:val="000000"/>
        </w:rPr>
        <w:t xml:space="preserve">provides </w:t>
      </w:r>
      <w:r w:rsidRPr="008B4E34">
        <w:rPr>
          <w:color w:val="000000"/>
        </w:rPr>
        <w:t xml:space="preserve">assurance that funds will be available for the patient when they are needed.  </w:t>
      </w:r>
      <w:r w:rsidR="00B85111" w:rsidRPr="008B4E34">
        <w:rPr>
          <w:color w:val="000000"/>
        </w:rPr>
        <w:t>Additional</w:t>
      </w:r>
      <w:r w:rsidRPr="008B4E34">
        <w:rPr>
          <w:color w:val="000000"/>
        </w:rPr>
        <w:t xml:space="preserve">ly, </w:t>
      </w:r>
      <w:r w:rsidR="003A51F2" w:rsidRPr="008B4E34">
        <w:rPr>
          <w:color w:val="000000"/>
        </w:rPr>
        <w:t>it</w:t>
      </w:r>
      <w:r w:rsidRPr="008B4E34">
        <w:rPr>
          <w:color w:val="000000"/>
        </w:rPr>
        <w:t xml:space="preserve"> reduces the total cost of </w:t>
      </w:r>
      <w:r w:rsidR="00B85111" w:rsidRPr="008B4E34">
        <w:rPr>
          <w:color w:val="000000"/>
        </w:rPr>
        <w:t xml:space="preserve">a </w:t>
      </w:r>
      <w:r w:rsidRPr="008B4E34">
        <w:rPr>
          <w:color w:val="000000"/>
        </w:rPr>
        <w:t xml:space="preserve">settlement as a smaller amount of funds can be annuitized </w:t>
      </w:r>
      <w:r w:rsidR="00093D56" w:rsidRPr="008B4E34">
        <w:rPr>
          <w:color w:val="000000"/>
        </w:rPr>
        <w:t xml:space="preserve">to provide the same total benefit </w:t>
      </w:r>
      <w:r w:rsidR="003A51F2" w:rsidRPr="008B4E34">
        <w:rPr>
          <w:color w:val="000000"/>
        </w:rPr>
        <w:t>to the injured patient</w:t>
      </w:r>
      <w:r w:rsidR="00093D56" w:rsidRPr="008B4E34">
        <w:rPr>
          <w:color w:val="000000"/>
        </w:rPr>
        <w:t>.</w:t>
      </w:r>
    </w:p>
    <w:p w:rsidR="00E61C40" w:rsidRPr="008B4E34" w:rsidRDefault="00E61C40" w:rsidP="00D302F5">
      <w:pPr>
        <w:autoSpaceDE w:val="0"/>
        <w:autoSpaceDN w:val="0"/>
        <w:adjustRightInd w:val="0"/>
        <w:rPr>
          <w:color w:val="000000"/>
        </w:rPr>
      </w:pPr>
    </w:p>
    <w:p w:rsidR="00E61C40" w:rsidRPr="008B4E34" w:rsidRDefault="00093D56" w:rsidP="00D302F5">
      <w:pPr>
        <w:autoSpaceDE w:val="0"/>
        <w:autoSpaceDN w:val="0"/>
        <w:adjustRightInd w:val="0"/>
        <w:rPr>
          <w:b/>
          <w:color w:val="000000"/>
        </w:rPr>
      </w:pPr>
      <w:r w:rsidRPr="008B4E34">
        <w:rPr>
          <w:b/>
          <w:color w:val="000000"/>
        </w:rPr>
        <w:t>O</w:t>
      </w:r>
      <w:r w:rsidR="00E61C40" w:rsidRPr="008B4E34">
        <w:rPr>
          <w:b/>
          <w:color w:val="000000"/>
        </w:rPr>
        <w:t>ffsets for collateral sources</w:t>
      </w:r>
    </w:p>
    <w:p w:rsidR="00093D56" w:rsidRPr="008B4E34" w:rsidRDefault="00093D56" w:rsidP="00D302F5">
      <w:pPr>
        <w:autoSpaceDE w:val="0"/>
        <w:autoSpaceDN w:val="0"/>
        <w:adjustRightInd w:val="0"/>
        <w:rPr>
          <w:color w:val="000000"/>
        </w:rPr>
      </w:pPr>
      <w:r w:rsidRPr="008B4E34">
        <w:rPr>
          <w:color w:val="000000"/>
        </w:rPr>
        <w:t>If the goal of a medical liability settlement or award is to</w:t>
      </w:r>
      <w:r w:rsidR="00DD6FD2" w:rsidRPr="008B4E34">
        <w:rPr>
          <w:color w:val="000000"/>
        </w:rPr>
        <w:t>,</w:t>
      </w:r>
      <w:r w:rsidRPr="008B4E34">
        <w:rPr>
          <w:color w:val="000000"/>
        </w:rPr>
        <w:t xml:space="preserve"> as best as possible</w:t>
      </w:r>
      <w:r w:rsidR="00DD6FD2" w:rsidRPr="008B4E34">
        <w:rPr>
          <w:color w:val="000000"/>
        </w:rPr>
        <w:t>,</w:t>
      </w:r>
      <w:r w:rsidRPr="008B4E34">
        <w:rPr>
          <w:color w:val="000000"/>
        </w:rPr>
        <w:t xml:space="preserve"> restore the patient to their condition prior to the injury that precipitated the claim, then all sources of restoration funding should be considered.  Patients should not be allowed to "double dip" as this takes resources away from the health care system which could be used to the benefit of others.</w:t>
      </w:r>
    </w:p>
    <w:p w:rsidR="00E61C40" w:rsidRPr="008B4E34" w:rsidRDefault="00E61C40" w:rsidP="00D302F5">
      <w:pPr>
        <w:autoSpaceDE w:val="0"/>
        <w:autoSpaceDN w:val="0"/>
        <w:adjustRightInd w:val="0"/>
        <w:rPr>
          <w:color w:val="000000"/>
        </w:rPr>
      </w:pPr>
    </w:p>
    <w:p w:rsidR="00D302F5" w:rsidRPr="008B4E34" w:rsidRDefault="00D302F5" w:rsidP="00D302F5">
      <w:pPr>
        <w:autoSpaceDE w:val="0"/>
        <w:autoSpaceDN w:val="0"/>
        <w:adjustRightInd w:val="0"/>
        <w:rPr>
          <w:b/>
          <w:color w:val="000000"/>
        </w:rPr>
      </w:pPr>
      <w:r w:rsidRPr="008B4E34">
        <w:rPr>
          <w:b/>
          <w:color w:val="000000"/>
        </w:rPr>
        <w:t xml:space="preserve">Limiting Contingency Fee Arrangements </w:t>
      </w:r>
    </w:p>
    <w:p w:rsidR="00D302F5" w:rsidRPr="008B4E34" w:rsidRDefault="00D302F5" w:rsidP="00D302F5">
      <w:pPr>
        <w:autoSpaceDE w:val="0"/>
        <w:autoSpaceDN w:val="0"/>
        <w:adjustRightInd w:val="0"/>
        <w:rPr>
          <w:color w:val="000000"/>
        </w:rPr>
      </w:pPr>
      <w:r w:rsidRPr="008B4E34">
        <w:rPr>
          <w:color w:val="000000"/>
        </w:rPr>
        <w:t xml:space="preserve">Current Iowa law cedes determination of appropriate medical liability contingency fee arrangements to the court on a case-by-case basis, which has proven ineffective in other areas of legal practice. By enacting uniform limits on these arrangements, we can create consistency across the state and ensure patients with a legitimate claim receive appropriate compensation. </w:t>
      </w:r>
      <w:r w:rsidR="003A51F2" w:rsidRPr="008B4E34">
        <w:rPr>
          <w:color w:val="000000"/>
        </w:rPr>
        <w:t>Twenty</w:t>
      </w:r>
      <w:r w:rsidRPr="008B4E34">
        <w:rPr>
          <w:color w:val="000000"/>
        </w:rPr>
        <w:t xml:space="preserve"> states have some form of this policy. </w:t>
      </w:r>
    </w:p>
    <w:p w:rsidR="00E61C40" w:rsidRPr="008B4E34" w:rsidRDefault="00E61C40" w:rsidP="00D302F5">
      <w:pPr>
        <w:autoSpaceDE w:val="0"/>
        <w:autoSpaceDN w:val="0"/>
        <w:adjustRightInd w:val="0"/>
        <w:rPr>
          <w:color w:val="000000"/>
        </w:rPr>
      </w:pPr>
    </w:p>
    <w:p w:rsidR="00D302F5" w:rsidRPr="008B4E34" w:rsidRDefault="00D302F5" w:rsidP="00D302F5">
      <w:pPr>
        <w:autoSpaceDE w:val="0"/>
        <w:autoSpaceDN w:val="0"/>
        <w:adjustRightInd w:val="0"/>
        <w:rPr>
          <w:b/>
          <w:color w:val="000000"/>
        </w:rPr>
      </w:pPr>
      <w:r w:rsidRPr="008B4E34">
        <w:rPr>
          <w:b/>
          <w:color w:val="000000"/>
        </w:rPr>
        <w:t xml:space="preserve">Expanding Candor </w:t>
      </w:r>
    </w:p>
    <w:p w:rsidR="00D302F5" w:rsidRPr="008B4E34" w:rsidRDefault="00D302F5" w:rsidP="00D302F5">
      <w:pPr>
        <w:rPr>
          <w:color w:val="000000"/>
        </w:rPr>
      </w:pPr>
      <w:r w:rsidRPr="008B4E34">
        <w:rPr>
          <w:color w:val="000000"/>
        </w:rPr>
        <w:t xml:space="preserve">Enacted in 2015, Iowa’s </w:t>
      </w:r>
      <w:r w:rsidRPr="008B4E34">
        <w:rPr>
          <w:i/>
          <w:iCs/>
          <w:color w:val="000000"/>
        </w:rPr>
        <w:t xml:space="preserve">Candor </w:t>
      </w:r>
      <w:r w:rsidRPr="008B4E34">
        <w:rPr>
          <w:color w:val="000000"/>
        </w:rPr>
        <w:t xml:space="preserve">statute allows physicians to engage their patients in frank and confidential discussions following an adverse outcome. The statute is designed to speed patients’ access to information and help to maintain the physician-patient </w:t>
      </w:r>
      <w:r w:rsidRPr="008B4E34">
        <w:rPr>
          <w:color w:val="000000"/>
        </w:rPr>
        <w:lastRenderedPageBreak/>
        <w:t xml:space="preserve">relationship. Since early 2016, a facility in Eastern Iowa has been piloting the </w:t>
      </w:r>
      <w:r w:rsidRPr="008B4E34">
        <w:rPr>
          <w:i/>
          <w:iCs/>
          <w:color w:val="000000"/>
        </w:rPr>
        <w:t xml:space="preserve">Candor </w:t>
      </w:r>
      <w:r w:rsidRPr="008B4E34">
        <w:rPr>
          <w:color w:val="000000"/>
        </w:rPr>
        <w:t>concept and has helped identify opportunities for expanding the statute by allowing more cases to qualify for this voluntary program and allowing more healthcare professionals to take part. Iowa is the third state to enact early disclosure legislation.</w:t>
      </w:r>
    </w:p>
    <w:p w:rsidR="00E61C40" w:rsidRPr="008B4E34" w:rsidRDefault="00E61C40" w:rsidP="00D302F5">
      <w:pPr>
        <w:rPr>
          <w:color w:val="000000"/>
        </w:rPr>
      </w:pPr>
    </w:p>
    <w:p w:rsidR="001D019F" w:rsidRPr="008B4E34" w:rsidRDefault="001D019F" w:rsidP="001D019F">
      <w:pPr>
        <w:autoSpaceDE w:val="0"/>
        <w:autoSpaceDN w:val="0"/>
        <w:adjustRightInd w:val="0"/>
        <w:rPr>
          <w:b/>
          <w:color w:val="000000"/>
        </w:rPr>
      </w:pPr>
      <w:r w:rsidRPr="008B4E34">
        <w:rPr>
          <w:b/>
          <w:color w:val="000000"/>
        </w:rPr>
        <w:t xml:space="preserve">Strengthened Expert Witness Standards </w:t>
      </w:r>
    </w:p>
    <w:p w:rsidR="001D019F" w:rsidRPr="008B4E34" w:rsidRDefault="001D019F" w:rsidP="001D019F">
      <w:pPr>
        <w:autoSpaceDE w:val="0"/>
        <w:autoSpaceDN w:val="0"/>
        <w:adjustRightInd w:val="0"/>
        <w:rPr>
          <w:color w:val="000000"/>
        </w:rPr>
      </w:pPr>
      <w:r w:rsidRPr="008B4E34">
        <w:rPr>
          <w:color w:val="000000"/>
        </w:rPr>
        <w:t xml:space="preserve">By strengthening the standards for medical liability suits to require that expert witnesses are trained in the area of practice for which they are testifying and in good professional standing with their licensing board, we can assure that medical experts meet the same rigorous competency standards as Iowa’s licensed professionals, and continue our state’s reputation as a fair and honest legal system. </w:t>
      </w:r>
      <w:r w:rsidR="004835AD" w:rsidRPr="008B4E34">
        <w:rPr>
          <w:color w:val="000000"/>
        </w:rPr>
        <w:t>Twenty eight</w:t>
      </w:r>
      <w:r w:rsidRPr="008B4E34">
        <w:rPr>
          <w:color w:val="000000"/>
        </w:rPr>
        <w:t xml:space="preserve"> states have some form of this policy. </w:t>
      </w:r>
    </w:p>
    <w:p w:rsidR="001D019F" w:rsidRPr="008B4E34" w:rsidRDefault="001D019F" w:rsidP="001D019F">
      <w:pPr>
        <w:autoSpaceDE w:val="0"/>
        <w:autoSpaceDN w:val="0"/>
        <w:adjustRightInd w:val="0"/>
        <w:rPr>
          <w:color w:val="000000"/>
        </w:rPr>
      </w:pPr>
    </w:p>
    <w:p w:rsidR="001D019F" w:rsidRPr="008B4E34" w:rsidRDefault="001D019F" w:rsidP="001D019F">
      <w:pPr>
        <w:autoSpaceDE w:val="0"/>
        <w:autoSpaceDN w:val="0"/>
        <w:adjustRightInd w:val="0"/>
        <w:rPr>
          <w:b/>
          <w:color w:val="000000"/>
        </w:rPr>
      </w:pPr>
      <w:r w:rsidRPr="008B4E34">
        <w:rPr>
          <w:b/>
          <w:color w:val="000000"/>
        </w:rPr>
        <w:t xml:space="preserve">Certificate of Merit </w:t>
      </w:r>
    </w:p>
    <w:p w:rsidR="001D019F" w:rsidRPr="008B4E34" w:rsidRDefault="001D019F" w:rsidP="001D019F">
      <w:pPr>
        <w:autoSpaceDE w:val="0"/>
        <w:autoSpaceDN w:val="0"/>
        <w:adjustRightInd w:val="0"/>
        <w:rPr>
          <w:color w:val="000000"/>
        </w:rPr>
      </w:pPr>
      <w:r w:rsidRPr="008B4E34">
        <w:rPr>
          <w:color w:val="000000"/>
        </w:rPr>
        <w:t xml:space="preserve">This reform requires, within </w:t>
      </w:r>
      <w:r w:rsidR="004835AD" w:rsidRPr="008B4E34">
        <w:rPr>
          <w:color w:val="000000"/>
        </w:rPr>
        <w:t>ninety</w:t>
      </w:r>
      <w:r w:rsidRPr="008B4E34">
        <w:rPr>
          <w:color w:val="000000"/>
        </w:rPr>
        <w:t xml:space="preserve"> day</w:t>
      </w:r>
      <w:r w:rsidR="00E84693" w:rsidRPr="008B4E34">
        <w:rPr>
          <w:color w:val="000000"/>
        </w:rPr>
        <w:t xml:space="preserve">s of a plaintiff filing a </w:t>
      </w:r>
      <w:proofErr w:type="gramStart"/>
      <w:r w:rsidR="00E84693" w:rsidRPr="008B4E34">
        <w:rPr>
          <w:color w:val="000000"/>
        </w:rPr>
        <w:t xml:space="preserve">suit, </w:t>
      </w:r>
      <w:r w:rsidRPr="008B4E34">
        <w:rPr>
          <w:color w:val="000000"/>
        </w:rPr>
        <w:t>that</w:t>
      </w:r>
      <w:proofErr w:type="gramEnd"/>
      <w:r w:rsidRPr="008B4E34">
        <w:rPr>
          <w:color w:val="000000"/>
        </w:rPr>
        <w:t xml:space="preserve"> a medical expert certify how the care in question failed to meet the appropriate standards of care. If an expert is unable to identify a breach in the standard of care, the case may be dismissed; this would clear meritless cases from the court docket and allow patients with legitimate claims to more quickly resolve their case. </w:t>
      </w:r>
      <w:r w:rsidR="004835AD" w:rsidRPr="008B4E34">
        <w:rPr>
          <w:color w:val="000000"/>
        </w:rPr>
        <w:t>Twenty eight</w:t>
      </w:r>
      <w:r w:rsidRPr="008B4E34">
        <w:rPr>
          <w:color w:val="000000"/>
        </w:rPr>
        <w:t xml:space="preserve"> states have some form of this policy. </w:t>
      </w:r>
    </w:p>
    <w:p w:rsidR="001D019F" w:rsidRPr="008B4E34" w:rsidRDefault="001D019F" w:rsidP="001D019F">
      <w:pPr>
        <w:autoSpaceDE w:val="0"/>
        <w:autoSpaceDN w:val="0"/>
        <w:adjustRightInd w:val="0"/>
        <w:rPr>
          <w:color w:val="000000"/>
        </w:rPr>
      </w:pPr>
    </w:p>
    <w:p w:rsidR="001D019F" w:rsidRPr="008B4E34" w:rsidRDefault="001D019F" w:rsidP="001D019F">
      <w:pPr>
        <w:autoSpaceDE w:val="0"/>
        <w:autoSpaceDN w:val="0"/>
        <w:adjustRightInd w:val="0"/>
        <w:rPr>
          <w:b/>
          <w:color w:val="000000"/>
        </w:rPr>
      </w:pPr>
      <w:r w:rsidRPr="008B4E34">
        <w:rPr>
          <w:b/>
          <w:color w:val="000000"/>
        </w:rPr>
        <w:t xml:space="preserve">Affirmative Defense for Evidence-Based Medicine </w:t>
      </w:r>
    </w:p>
    <w:p w:rsidR="001D019F" w:rsidRPr="008B4E34" w:rsidRDefault="001D019F" w:rsidP="001D019F">
      <w:pPr>
        <w:autoSpaceDE w:val="0"/>
        <w:autoSpaceDN w:val="0"/>
        <w:adjustRightInd w:val="0"/>
        <w:rPr>
          <w:color w:val="000000"/>
        </w:rPr>
      </w:pPr>
      <w:r w:rsidRPr="008B4E34">
        <w:rPr>
          <w:color w:val="000000"/>
        </w:rPr>
        <w:t xml:space="preserve">Efforts to curb the growth in healthcare spending are placing greater pressure on physicians to avoid defensive medicine and provide more targeted care. Doing so vastly increases a physician’s liability exposure. An affirmative defense for the practice of evidence-based medicine creates legal protections for a physician to provide high quality, research-based care; reducing the need for duplicative </w:t>
      </w:r>
      <w:r w:rsidR="004835AD" w:rsidRPr="008B4E34">
        <w:rPr>
          <w:color w:val="000000"/>
        </w:rPr>
        <w:t>or unnecessary medic</w:t>
      </w:r>
      <w:r w:rsidRPr="008B4E34">
        <w:rPr>
          <w:color w:val="000000"/>
        </w:rPr>
        <w:t xml:space="preserve">al testing and promoting the utilization of medical best practices. Iowa would be a national leader with this innovative new policy. </w:t>
      </w:r>
    </w:p>
    <w:p w:rsidR="00E61C40" w:rsidRPr="008B4E34" w:rsidRDefault="00E61C40" w:rsidP="00D302F5"/>
    <w:p w:rsidR="00F372B3" w:rsidRPr="008B4E34" w:rsidRDefault="00F372B3" w:rsidP="00D302F5">
      <w:pPr>
        <w:rPr>
          <w:b/>
        </w:rPr>
      </w:pPr>
      <w:r w:rsidRPr="008B4E34">
        <w:rPr>
          <w:b/>
        </w:rPr>
        <w:t>Changes to the "Standard of Care" doctrine</w:t>
      </w:r>
    </w:p>
    <w:p w:rsidR="00F372B3" w:rsidRPr="008B4E34" w:rsidRDefault="00F372B3" w:rsidP="00D302F5">
      <w:r w:rsidRPr="008B4E34">
        <w:t>The doctrine of standard of care is well established in both statutory and case law.  However, with advances in evidence-based care</w:t>
      </w:r>
      <w:r w:rsidR="00CF5C00" w:rsidRPr="008B4E34">
        <w:t xml:space="preserve"> it has become clear that every patient is different and requires diagnosis and treatment tailored to their unique characteristics.  We advocate for a new measure of the appropriateness of care known as "reasonable care".  This would require all involved in the care of the patient to act as a "reasonable" provider would if presented with the same set of unique circumstances in the same patient.  It would require </w:t>
      </w:r>
      <w:r w:rsidR="002D452A" w:rsidRPr="008B4E34">
        <w:t>experts</w:t>
      </w:r>
      <w:r w:rsidR="00CF5C00" w:rsidRPr="008B4E34">
        <w:t xml:space="preserve"> who testify to be fully knowledgeable regarding the </w:t>
      </w:r>
      <w:r w:rsidR="002D452A" w:rsidRPr="008B4E34">
        <w:t>patient's prior health, the presentation of the patient, the socioeconomic factors of the patient, etc.  In</w:t>
      </w:r>
      <w:r w:rsidR="007D53D1" w:rsidRPr="008B4E34">
        <w:t xml:space="preserve"> short, it is actually a higher, more patient-specific </w:t>
      </w:r>
      <w:r w:rsidR="002D452A" w:rsidRPr="008B4E34">
        <w:t>bar that the current "standard of care".</w:t>
      </w:r>
    </w:p>
    <w:p w:rsidR="002D452A" w:rsidRPr="008B4E34" w:rsidRDefault="002D452A" w:rsidP="00D302F5"/>
    <w:p w:rsidR="002D452A" w:rsidRPr="008B4E34" w:rsidRDefault="002D452A" w:rsidP="00D302F5">
      <w:pPr>
        <w:rPr>
          <w:b/>
        </w:rPr>
      </w:pPr>
      <w:r w:rsidRPr="008B4E34">
        <w:rPr>
          <w:b/>
        </w:rPr>
        <w:t>Health Courts</w:t>
      </w:r>
    </w:p>
    <w:p w:rsidR="002D452A" w:rsidRPr="008B4E34" w:rsidRDefault="002D452A" w:rsidP="00D302F5">
      <w:r w:rsidRPr="008B4E34">
        <w:t xml:space="preserve">Medical liability claims are often complex, requiring both sides to spend considerable time educating jurors on the not only the details of the case at hand but also on </w:t>
      </w:r>
      <w:r w:rsidR="007D53D1" w:rsidRPr="008B4E34">
        <w:t xml:space="preserve">the applicable </w:t>
      </w:r>
      <w:r w:rsidRPr="008B4E34">
        <w:t>concepts of medicine.  Th</w:t>
      </w:r>
      <w:r w:rsidR="007D53D1" w:rsidRPr="008B4E34">
        <w:t>is</w:t>
      </w:r>
      <w:r w:rsidRPr="008B4E34">
        <w:t xml:space="preserve"> requires additional court time, and even then, it is difficult to know if the jurors truly understand the </w:t>
      </w:r>
      <w:r w:rsidR="007D53D1" w:rsidRPr="008B4E34">
        <w:t xml:space="preserve">complex </w:t>
      </w:r>
      <w:r w:rsidRPr="008B4E34">
        <w:t xml:space="preserve">issues upon which they are </w:t>
      </w:r>
      <w:r w:rsidRPr="008B4E34">
        <w:lastRenderedPageBreak/>
        <w:t xml:space="preserve">asked to decide.  Using special courts, </w:t>
      </w:r>
      <w:r w:rsidR="00F01B67" w:rsidRPr="008B4E34">
        <w:t xml:space="preserve">in which cases are tried by judges with a </w:t>
      </w:r>
      <w:r w:rsidR="007D53D1" w:rsidRPr="008B4E34">
        <w:t xml:space="preserve">higher </w:t>
      </w:r>
      <w:r w:rsidR="00F01B67" w:rsidRPr="008B4E34">
        <w:t xml:space="preserve">level of medical knowledge, physician peers, and trained lay people would remove many of the barriers which prevent un-trained jurors for reaching a verdict which is fair to the patient and the health care provider.  </w:t>
      </w:r>
    </w:p>
    <w:p w:rsidR="001D4897" w:rsidRPr="008B4E34" w:rsidRDefault="001D4897" w:rsidP="00D302F5"/>
    <w:p w:rsidR="001D4897" w:rsidRPr="008B4E34" w:rsidRDefault="001D4897" w:rsidP="001D4897">
      <w:pPr>
        <w:autoSpaceDE w:val="0"/>
        <w:autoSpaceDN w:val="0"/>
        <w:adjustRightInd w:val="0"/>
        <w:rPr>
          <w:color w:val="000000"/>
        </w:rPr>
      </w:pPr>
    </w:p>
    <w:p w:rsidR="001D4897" w:rsidRPr="008B4E34" w:rsidRDefault="001D4897" w:rsidP="001D4897">
      <w:pPr>
        <w:numPr>
          <w:ilvl w:val="0"/>
          <w:numId w:val="1"/>
        </w:numPr>
        <w:autoSpaceDE w:val="0"/>
        <w:autoSpaceDN w:val="0"/>
        <w:adjustRightInd w:val="0"/>
        <w:rPr>
          <w:color w:val="000000"/>
        </w:rPr>
      </w:pPr>
      <w:r w:rsidRPr="008B4E34">
        <w:rPr>
          <w:color w:val="000000"/>
        </w:rPr>
        <w:t xml:space="preserve">Scorecard on State Health System Performance, 2015 Edition, </w:t>
      </w:r>
      <w:proofErr w:type="gramStart"/>
      <w:r w:rsidRPr="008B4E34">
        <w:rPr>
          <w:color w:val="000000"/>
        </w:rPr>
        <w:t>The</w:t>
      </w:r>
      <w:proofErr w:type="gramEnd"/>
      <w:r w:rsidRPr="008B4E34">
        <w:rPr>
          <w:color w:val="000000"/>
        </w:rPr>
        <w:t xml:space="preserve"> Commonwealth Fund. </w:t>
      </w:r>
    </w:p>
    <w:p w:rsidR="001D4897" w:rsidRPr="008B4E34" w:rsidRDefault="001D4897" w:rsidP="001D4897">
      <w:pPr>
        <w:numPr>
          <w:ilvl w:val="0"/>
          <w:numId w:val="1"/>
        </w:numPr>
        <w:autoSpaceDE w:val="0"/>
        <w:autoSpaceDN w:val="0"/>
        <w:adjustRightInd w:val="0"/>
        <w:rPr>
          <w:color w:val="000000"/>
        </w:rPr>
      </w:pPr>
      <w:r w:rsidRPr="008B4E34">
        <w:rPr>
          <w:color w:val="000000"/>
        </w:rPr>
        <w:t xml:space="preserve">Iowa’s Rank in Number of Physicians per Population, 2015 Edition, Iowa Medical Society. </w:t>
      </w:r>
    </w:p>
    <w:p w:rsidR="001D4897" w:rsidRPr="008B4E34" w:rsidRDefault="001D4897" w:rsidP="001D4897">
      <w:pPr>
        <w:numPr>
          <w:ilvl w:val="0"/>
          <w:numId w:val="1"/>
        </w:numPr>
        <w:autoSpaceDE w:val="0"/>
        <w:autoSpaceDN w:val="0"/>
        <w:adjustRightInd w:val="0"/>
        <w:rPr>
          <w:color w:val="000000"/>
        </w:rPr>
      </w:pPr>
      <w:r w:rsidRPr="008B4E34">
        <w:rPr>
          <w:color w:val="000000"/>
        </w:rPr>
        <w:t xml:space="preserve">Annual Rate Survey, 2016 Edition, Medical Liability Monitor. </w:t>
      </w:r>
    </w:p>
    <w:p w:rsidR="001D4897" w:rsidRPr="008B4E34" w:rsidRDefault="001D4897" w:rsidP="001D4897">
      <w:pPr>
        <w:numPr>
          <w:ilvl w:val="0"/>
          <w:numId w:val="1"/>
        </w:numPr>
        <w:autoSpaceDE w:val="0"/>
        <w:autoSpaceDN w:val="0"/>
        <w:adjustRightInd w:val="0"/>
        <w:rPr>
          <w:color w:val="000000"/>
        </w:rPr>
      </w:pPr>
      <w:r w:rsidRPr="008B4E34">
        <w:rPr>
          <w:color w:val="000000"/>
        </w:rPr>
        <w:t xml:space="preserve">Allocated Loss Adjustment Expenses, Physician Closed Claims 2008-2012, MMIC Actuarial Database. </w:t>
      </w:r>
    </w:p>
    <w:p w:rsidR="001D4897" w:rsidRPr="008B4E34" w:rsidRDefault="001D4897" w:rsidP="001D4897">
      <w:pPr>
        <w:numPr>
          <w:ilvl w:val="0"/>
          <w:numId w:val="1"/>
        </w:numPr>
        <w:autoSpaceDE w:val="0"/>
        <w:autoSpaceDN w:val="0"/>
        <w:adjustRightInd w:val="0"/>
        <w:rPr>
          <w:color w:val="000000"/>
        </w:rPr>
      </w:pPr>
      <w:r w:rsidRPr="008B4E34">
        <w:rPr>
          <w:color w:val="000000"/>
        </w:rPr>
        <w:t xml:space="preserve">On Average, Physicians Spend Nearly 11 Percent Of Their 40-Year Careers With An Open, Unresolved Malpractice Claim, January 2013, Health Affairs. </w:t>
      </w:r>
    </w:p>
    <w:p w:rsidR="001D4897" w:rsidRPr="008B4E34" w:rsidRDefault="001D4897" w:rsidP="001D4897">
      <w:pPr>
        <w:numPr>
          <w:ilvl w:val="0"/>
          <w:numId w:val="1"/>
        </w:numPr>
        <w:autoSpaceDE w:val="0"/>
        <w:autoSpaceDN w:val="0"/>
        <w:adjustRightInd w:val="0"/>
        <w:rPr>
          <w:color w:val="000000"/>
        </w:rPr>
      </w:pPr>
      <w:r w:rsidRPr="008B4E34">
        <w:rPr>
          <w:color w:val="000000"/>
        </w:rPr>
        <w:t xml:space="preserve">Professional Liability Insurance Indemnity Payments, Expenses and Claim Dispositions, 2004-2013. American Medical Association. </w:t>
      </w:r>
    </w:p>
    <w:p w:rsidR="001D4897" w:rsidRPr="008B4E34" w:rsidRDefault="001D4897" w:rsidP="001D4897">
      <w:pPr>
        <w:numPr>
          <w:ilvl w:val="0"/>
          <w:numId w:val="1"/>
        </w:numPr>
        <w:autoSpaceDE w:val="0"/>
        <w:autoSpaceDN w:val="0"/>
        <w:adjustRightInd w:val="0"/>
        <w:rPr>
          <w:color w:val="000000"/>
        </w:rPr>
      </w:pPr>
      <w:r w:rsidRPr="008B4E34">
        <w:rPr>
          <w:color w:val="000000"/>
        </w:rPr>
        <w:t xml:space="preserve">Medical Liability Reform Now, 2016 Edition, American Medical Association. </w:t>
      </w:r>
    </w:p>
    <w:p w:rsidR="001D4897" w:rsidRPr="008B4E34" w:rsidRDefault="001D4897" w:rsidP="001D4897">
      <w:pPr>
        <w:numPr>
          <w:ilvl w:val="0"/>
          <w:numId w:val="1"/>
        </w:numPr>
        <w:autoSpaceDE w:val="0"/>
        <w:autoSpaceDN w:val="0"/>
        <w:adjustRightInd w:val="0"/>
        <w:rPr>
          <w:color w:val="000000"/>
        </w:rPr>
      </w:pPr>
      <w:r w:rsidRPr="008B4E34">
        <w:rPr>
          <w:color w:val="000000"/>
        </w:rPr>
        <w:t xml:space="preserve">Impact of Malpractice Reforms on the Supply of Physician Services, 2002, </w:t>
      </w:r>
      <w:r w:rsidRPr="008B4E34">
        <w:rPr>
          <w:i/>
          <w:iCs/>
          <w:color w:val="000000"/>
        </w:rPr>
        <w:t xml:space="preserve">JAMA. </w:t>
      </w:r>
    </w:p>
    <w:p w:rsidR="001D4897" w:rsidRPr="001D4897" w:rsidRDefault="001D4897" w:rsidP="001D4897">
      <w:pPr>
        <w:numPr>
          <w:ilvl w:val="0"/>
          <w:numId w:val="1"/>
        </w:numPr>
        <w:rPr>
          <w:rFonts w:ascii="Arial" w:hAnsi="Arial" w:cs="Arial"/>
          <w:sz w:val="16"/>
          <w:szCs w:val="16"/>
        </w:rPr>
      </w:pPr>
      <w:r w:rsidRPr="008B4E34">
        <w:rPr>
          <w:color w:val="000000"/>
        </w:rPr>
        <w:t>Illinois New Physician Workforce Study, 2010, Northwestern University Feinberg</w:t>
      </w:r>
      <w:r w:rsidRPr="001D4897">
        <w:rPr>
          <w:rFonts w:ascii="Arial" w:hAnsi="Arial" w:cs="Arial"/>
          <w:color w:val="000000"/>
          <w:sz w:val="16"/>
          <w:szCs w:val="16"/>
        </w:rPr>
        <w:t xml:space="preserve"> </w:t>
      </w:r>
      <w:smartTag w:uri="urn:schemas-microsoft-com:office:smarttags" w:element="PlaceType">
        <w:r w:rsidRPr="001D4897">
          <w:rPr>
            <w:rFonts w:ascii="Arial" w:hAnsi="Arial" w:cs="Arial"/>
            <w:color w:val="000000"/>
            <w:sz w:val="16"/>
            <w:szCs w:val="16"/>
          </w:rPr>
          <w:t>School</w:t>
        </w:r>
      </w:smartTag>
      <w:r w:rsidRPr="001D4897">
        <w:rPr>
          <w:rFonts w:ascii="Arial" w:hAnsi="Arial" w:cs="Arial"/>
          <w:color w:val="000000"/>
          <w:sz w:val="16"/>
          <w:szCs w:val="16"/>
        </w:rPr>
        <w:t xml:space="preserve"> of Medicine.  </w:t>
      </w:r>
    </w:p>
    <w:sectPr w:rsidR="001D4897" w:rsidRPr="001D48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9E18EC"/>
    <w:multiLevelType w:val="hybridMultilevel"/>
    <w:tmpl w:val="847C1C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299"/>
    <w:rsid w:val="000006B3"/>
    <w:rsid w:val="000033D9"/>
    <w:rsid w:val="000054BF"/>
    <w:rsid w:val="000145CA"/>
    <w:rsid w:val="00021323"/>
    <w:rsid w:val="00021A94"/>
    <w:rsid w:val="0002272B"/>
    <w:rsid w:val="000265A2"/>
    <w:rsid w:val="00053657"/>
    <w:rsid w:val="00055DB9"/>
    <w:rsid w:val="00056BD1"/>
    <w:rsid w:val="0006659F"/>
    <w:rsid w:val="0007150E"/>
    <w:rsid w:val="0007340D"/>
    <w:rsid w:val="00076058"/>
    <w:rsid w:val="00081895"/>
    <w:rsid w:val="00085ADB"/>
    <w:rsid w:val="00091E4F"/>
    <w:rsid w:val="00092391"/>
    <w:rsid w:val="00093D56"/>
    <w:rsid w:val="000968B8"/>
    <w:rsid w:val="000975C8"/>
    <w:rsid w:val="000A06CA"/>
    <w:rsid w:val="000A246A"/>
    <w:rsid w:val="000A7787"/>
    <w:rsid w:val="000A7C35"/>
    <w:rsid w:val="000B12D4"/>
    <w:rsid w:val="000B6BF1"/>
    <w:rsid w:val="000B6EFB"/>
    <w:rsid w:val="000C081F"/>
    <w:rsid w:val="000C17F4"/>
    <w:rsid w:val="000C671C"/>
    <w:rsid w:val="000C6EE9"/>
    <w:rsid w:val="000C6FC8"/>
    <w:rsid w:val="000D2076"/>
    <w:rsid w:val="000E1290"/>
    <w:rsid w:val="000E3106"/>
    <w:rsid w:val="000F28DA"/>
    <w:rsid w:val="000F4401"/>
    <w:rsid w:val="000F5CFF"/>
    <w:rsid w:val="000F6300"/>
    <w:rsid w:val="0010026F"/>
    <w:rsid w:val="001052C2"/>
    <w:rsid w:val="00105E86"/>
    <w:rsid w:val="0011357C"/>
    <w:rsid w:val="0011477B"/>
    <w:rsid w:val="0011550B"/>
    <w:rsid w:val="00116748"/>
    <w:rsid w:val="00121E14"/>
    <w:rsid w:val="00125576"/>
    <w:rsid w:val="001268D4"/>
    <w:rsid w:val="001316B2"/>
    <w:rsid w:val="001337AC"/>
    <w:rsid w:val="001530A3"/>
    <w:rsid w:val="001577E6"/>
    <w:rsid w:val="00157EB9"/>
    <w:rsid w:val="00160010"/>
    <w:rsid w:val="00160490"/>
    <w:rsid w:val="00163154"/>
    <w:rsid w:val="00166B74"/>
    <w:rsid w:val="00170A70"/>
    <w:rsid w:val="00170DE9"/>
    <w:rsid w:val="00172193"/>
    <w:rsid w:val="00172A87"/>
    <w:rsid w:val="001733C4"/>
    <w:rsid w:val="00181D85"/>
    <w:rsid w:val="00181F9A"/>
    <w:rsid w:val="00190D82"/>
    <w:rsid w:val="00192D68"/>
    <w:rsid w:val="001A5658"/>
    <w:rsid w:val="001B053B"/>
    <w:rsid w:val="001B1568"/>
    <w:rsid w:val="001B2C2F"/>
    <w:rsid w:val="001B5256"/>
    <w:rsid w:val="001C0AF1"/>
    <w:rsid w:val="001C679B"/>
    <w:rsid w:val="001C74C8"/>
    <w:rsid w:val="001D019F"/>
    <w:rsid w:val="001D2EFF"/>
    <w:rsid w:val="001D38AC"/>
    <w:rsid w:val="001D4897"/>
    <w:rsid w:val="001E08E3"/>
    <w:rsid w:val="001F099A"/>
    <w:rsid w:val="001F1FA6"/>
    <w:rsid w:val="001F25E2"/>
    <w:rsid w:val="001F39A2"/>
    <w:rsid w:val="001F3CD3"/>
    <w:rsid w:val="001F4586"/>
    <w:rsid w:val="001F57BF"/>
    <w:rsid w:val="00201EF1"/>
    <w:rsid w:val="00203CEF"/>
    <w:rsid w:val="00214040"/>
    <w:rsid w:val="00214CBE"/>
    <w:rsid w:val="00214F7E"/>
    <w:rsid w:val="00221019"/>
    <w:rsid w:val="00222515"/>
    <w:rsid w:val="00222A01"/>
    <w:rsid w:val="00222D6C"/>
    <w:rsid w:val="00225857"/>
    <w:rsid w:val="00227AA5"/>
    <w:rsid w:val="002350FC"/>
    <w:rsid w:val="0023519F"/>
    <w:rsid w:val="002354CB"/>
    <w:rsid w:val="00242351"/>
    <w:rsid w:val="0024441D"/>
    <w:rsid w:val="00251E4E"/>
    <w:rsid w:val="00260E7E"/>
    <w:rsid w:val="0026233B"/>
    <w:rsid w:val="00264FCA"/>
    <w:rsid w:val="00267673"/>
    <w:rsid w:val="00270AA4"/>
    <w:rsid w:val="00271F8C"/>
    <w:rsid w:val="002726A7"/>
    <w:rsid w:val="00274FBC"/>
    <w:rsid w:val="00280025"/>
    <w:rsid w:val="0028264D"/>
    <w:rsid w:val="002876FD"/>
    <w:rsid w:val="00287D6B"/>
    <w:rsid w:val="00293598"/>
    <w:rsid w:val="0029664C"/>
    <w:rsid w:val="002966F2"/>
    <w:rsid w:val="002A640F"/>
    <w:rsid w:val="002B02A1"/>
    <w:rsid w:val="002B0FCC"/>
    <w:rsid w:val="002B7C2F"/>
    <w:rsid w:val="002C0205"/>
    <w:rsid w:val="002C0934"/>
    <w:rsid w:val="002C594A"/>
    <w:rsid w:val="002D1C43"/>
    <w:rsid w:val="002D452A"/>
    <w:rsid w:val="002E1299"/>
    <w:rsid w:val="002E2ACE"/>
    <w:rsid w:val="002E4062"/>
    <w:rsid w:val="002F0843"/>
    <w:rsid w:val="002F14B5"/>
    <w:rsid w:val="002F55C6"/>
    <w:rsid w:val="002F59E4"/>
    <w:rsid w:val="002F5CC0"/>
    <w:rsid w:val="00300DA2"/>
    <w:rsid w:val="00301462"/>
    <w:rsid w:val="00310A91"/>
    <w:rsid w:val="00320367"/>
    <w:rsid w:val="00321635"/>
    <w:rsid w:val="00321EFE"/>
    <w:rsid w:val="00322CFF"/>
    <w:rsid w:val="003246D8"/>
    <w:rsid w:val="003254EF"/>
    <w:rsid w:val="00326018"/>
    <w:rsid w:val="00333D8C"/>
    <w:rsid w:val="00337AE5"/>
    <w:rsid w:val="00340B67"/>
    <w:rsid w:val="003469C9"/>
    <w:rsid w:val="00346D44"/>
    <w:rsid w:val="0035205A"/>
    <w:rsid w:val="0035259C"/>
    <w:rsid w:val="003534CA"/>
    <w:rsid w:val="00363B66"/>
    <w:rsid w:val="0036566A"/>
    <w:rsid w:val="0037230A"/>
    <w:rsid w:val="003810E2"/>
    <w:rsid w:val="003858DD"/>
    <w:rsid w:val="003904AE"/>
    <w:rsid w:val="00394D84"/>
    <w:rsid w:val="003979AA"/>
    <w:rsid w:val="003A51F2"/>
    <w:rsid w:val="003B4956"/>
    <w:rsid w:val="003B5C21"/>
    <w:rsid w:val="003C24B7"/>
    <w:rsid w:val="003C5A66"/>
    <w:rsid w:val="003D0CAF"/>
    <w:rsid w:val="003D24D6"/>
    <w:rsid w:val="003D2CB0"/>
    <w:rsid w:val="003D2DD5"/>
    <w:rsid w:val="003D3C87"/>
    <w:rsid w:val="003D58B7"/>
    <w:rsid w:val="003E3503"/>
    <w:rsid w:val="003E613A"/>
    <w:rsid w:val="003E62FF"/>
    <w:rsid w:val="003F0C7C"/>
    <w:rsid w:val="003F1105"/>
    <w:rsid w:val="003F345D"/>
    <w:rsid w:val="003F368B"/>
    <w:rsid w:val="003F47CB"/>
    <w:rsid w:val="00401372"/>
    <w:rsid w:val="00401C77"/>
    <w:rsid w:val="00406F9E"/>
    <w:rsid w:val="00410461"/>
    <w:rsid w:val="004120A7"/>
    <w:rsid w:val="004177EE"/>
    <w:rsid w:val="00421BD9"/>
    <w:rsid w:val="0042357C"/>
    <w:rsid w:val="0043341D"/>
    <w:rsid w:val="00434F7B"/>
    <w:rsid w:val="00442933"/>
    <w:rsid w:val="00443AEA"/>
    <w:rsid w:val="00457794"/>
    <w:rsid w:val="004636B5"/>
    <w:rsid w:val="00466A17"/>
    <w:rsid w:val="00474A69"/>
    <w:rsid w:val="004753E4"/>
    <w:rsid w:val="0047605D"/>
    <w:rsid w:val="0047632D"/>
    <w:rsid w:val="00476EC2"/>
    <w:rsid w:val="004835AD"/>
    <w:rsid w:val="0049143D"/>
    <w:rsid w:val="004931F1"/>
    <w:rsid w:val="00494CA8"/>
    <w:rsid w:val="0049644A"/>
    <w:rsid w:val="004969CD"/>
    <w:rsid w:val="004A1972"/>
    <w:rsid w:val="004A42AB"/>
    <w:rsid w:val="004A4AC6"/>
    <w:rsid w:val="004B13DB"/>
    <w:rsid w:val="004B34A7"/>
    <w:rsid w:val="004B4653"/>
    <w:rsid w:val="004B7D4F"/>
    <w:rsid w:val="004C0270"/>
    <w:rsid w:val="004C0898"/>
    <w:rsid w:val="004C13F9"/>
    <w:rsid w:val="004C59B0"/>
    <w:rsid w:val="004C5F23"/>
    <w:rsid w:val="004C6F68"/>
    <w:rsid w:val="004D0BF1"/>
    <w:rsid w:val="004D2278"/>
    <w:rsid w:val="004D3904"/>
    <w:rsid w:val="004D7F08"/>
    <w:rsid w:val="004E1136"/>
    <w:rsid w:val="004F6A7F"/>
    <w:rsid w:val="004F7B75"/>
    <w:rsid w:val="00500F25"/>
    <w:rsid w:val="00501257"/>
    <w:rsid w:val="00504C96"/>
    <w:rsid w:val="00512D7E"/>
    <w:rsid w:val="00514CF6"/>
    <w:rsid w:val="00524B98"/>
    <w:rsid w:val="0052690B"/>
    <w:rsid w:val="00533462"/>
    <w:rsid w:val="00541D86"/>
    <w:rsid w:val="00542A23"/>
    <w:rsid w:val="00544DAC"/>
    <w:rsid w:val="00545B90"/>
    <w:rsid w:val="00550399"/>
    <w:rsid w:val="00554733"/>
    <w:rsid w:val="00554FC8"/>
    <w:rsid w:val="005557CB"/>
    <w:rsid w:val="005601EE"/>
    <w:rsid w:val="00566944"/>
    <w:rsid w:val="00566F08"/>
    <w:rsid w:val="00575B41"/>
    <w:rsid w:val="005774BD"/>
    <w:rsid w:val="005824BE"/>
    <w:rsid w:val="00595131"/>
    <w:rsid w:val="005A017B"/>
    <w:rsid w:val="005A23EA"/>
    <w:rsid w:val="005A5578"/>
    <w:rsid w:val="005A640D"/>
    <w:rsid w:val="005B0990"/>
    <w:rsid w:val="005B3632"/>
    <w:rsid w:val="005C188D"/>
    <w:rsid w:val="005C4010"/>
    <w:rsid w:val="005C45F5"/>
    <w:rsid w:val="005C4D78"/>
    <w:rsid w:val="005C5057"/>
    <w:rsid w:val="005D056A"/>
    <w:rsid w:val="005D1C2D"/>
    <w:rsid w:val="005E28AA"/>
    <w:rsid w:val="005E6116"/>
    <w:rsid w:val="005E6ADF"/>
    <w:rsid w:val="005F1E60"/>
    <w:rsid w:val="005F2BC4"/>
    <w:rsid w:val="005F3DB5"/>
    <w:rsid w:val="005F7798"/>
    <w:rsid w:val="00601B6E"/>
    <w:rsid w:val="00602A97"/>
    <w:rsid w:val="00605B6A"/>
    <w:rsid w:val="00605C0D"/>
    <w:rsid w:val="00605CE1"/>
    <w:rsid w:val="00606446"/>
    <w:rsid w:val="006064FF"/>
    <w:rsid w:val="0061145E"/>
    <w:rsid w:val="0061723D"/>
    <w:rsid w:val="00621AFD"/>
    <w:rsid w:val="00623ED2"/>
    <w:rsid w:val="00624624"/>
    <w:rsid w:val="006258A1"/>
    <w:rsid w:val="006333EC"/>
    <w:rsid w:val="00635C75"/>
    <w:rsid w:val="00652790"/>
    <w:rsid w:val="00670283"/>
    <w:rsid w:val="00670EA1"/>
    <w:rsid w:val="006717AA"/>
    <w:rsid w:val="006773C0"/>
    <w:rsid w:val="0068427A"/>
    <w:rsid w:val="006941B5"/>
    <w:rsid w:val="006A1C73"/>
    <w:rsid w:val="006A6A86"/>
    <w:rsid w:val="006A7CBB"/>
    <w:rsid w:val="006B2DF7"/>
    <w:rsid w:val="006B4708"/>
    <w:rsid w:val="006B4F96"/>
    <w:rsid w:val="006B613F"/>
    <w:rsid w:val="006B7653"/>
    <w:rsid w:val="006C2C07"/>
    <w:rsid w:val="006C31DE"/>
    <w:rsid w:val="006D27F3"/>
    <w:rsid w:val="006D3724"/>
    <w:rsid w:val="006D5007"/>
    <w:rsid w:val="006E1C24"/>
    <w:rsid w:val="006F57ED"/>
    <w:rsid w:val="006F5B44"/>
    <w:rsid w:val="007033AC"/>
    <w:rsid w:val="0070527A"/>
    <w:rsid w:val="00706401"/>
    <w:rsid w:val="0070779B"/>
    <w:rsid w:val="00711E91"/>
    <w:rsid w:val="007123E0"/>
    <w:rsid w:val="0071334A"/>
    <w:rsid w:val="00716B33"/>
    <w:rsid w:val="0072061F"/>
    <w:rsid w:val="0072134A"/>
    <w:rsid w:val="007266F7"/>
    <w:rsid w:val="00727F43"/>
    <w:rsid w:val="007317C3"/>
    <w:rsid w:val="00735E4C"/>
    <w:rsid w:val="007417CB"/>
    <w:rsid w:val="00744C9E"/>
    <w:rsid w:val="00755A89"/>
    <w:rsid w:val="00761CA0"/>
    <w:rsid w:val="0076328C"/>
    <w:rsid w:val="007704F6"/>
    <w:rsid w:val="0077412E"/>
    <w:rsid w:val="00791706"/>
    <w:rsid w:val="00794042"/>
    <w:rsid w:val="00795A71"/>
    <w:rsid w:val="007A0663"/>
    <w:rsid w:val="007A5CCD"/>
    <w:rsid w:val="007A6548"/>
    <w:rsid w:val="007A6DF2"/>
    <w:rsid w:val="007B11CD"/>
    <w:rsid w:val="007B2E43"/>
    <w:rsid w:val="007B3AC8"/>
    <w:rsid w:val="007B5BC1"/>
    <w:rsid w:val="007C21E2"/>
    <w:rsid w:val="007C22AA"/>
    <w:rsid w:val="007C2FA6"/>
    <w:rsid w:val="007D1CBC"/>
    <w:rsid w:val="007D3878"/>
    <w:rsid w:val="007D441A"/>
    <w:rsid w:val="007D446C"/>
    <w:rsid w:val="007D53D1"/>
    <w:rsid w:val="007D5536"/>
    <w:rsid w:val="007D565A"/>
    <w:rsid w:val="007E3D0A"/>
    <w:rsid w:val="007E4B00"/>
    <w:rsid w:val="007E6B2F"/>
    <w:rsid w:val="007E71FD"/>
    <w:rsid w:val="007F13AE"/>
    <w:rsid w:val="007F370F"/>
    <w:rsid w:val="007F40B0"/>
    <w:rsid w:val="007F6509"/>
    <w:rsid w:val="007F68A3"/>
    <w:rsid w:val="00800A4B"/>
    <w:rsid w:val="00802D49"/>
    <w:rsid w:val="00806020"/>
    <w:rsid w:val="00812823"/>
    <w:rsid w:val="00812869"/>
    <w:rsid w:val="00812CEF"/>
    <w:rsid w:val="00817D90"/>
    <w:rsid w:val="008207BB"/>
    <w:rsid w:val="00820F46"/>
    <w:rsid w:val="00821AD0"/>
    <w:rsid w:val="00827BC6"/>
    <w:rsid w:val="00830813"/>
    <w:rsid w:val="008316D8"/>
    <w:rsid w:val="00834413"/>
    <w:rsid w:val="00840BB6"/>
    <w:rsid w:val="00841424"/>
    <w:rsid w:val="008454F0"/>
    <w:rsid w:val="008457A4"/>
    <w:rsid w:val="008528A6"/>
    <w:rsid w:val="0085453B"/>
    <w:rsid w:val="00864D61"/>
    <w:rsid w:val="00866AC0"/>
    <w:rsid w:val="0086709F"/>
    <w:rsid w:val="008709F8"/>
    <w:rsid w:val="0087447A"/>
    <w:rsid w:val="00875717"/>
    <w:rsid w:val="00876370"/>
    <w:rsid w:val="00881D6B"/>
    <w:rsid w:val="008864F7"/>
    <w:rsid w:val="0089186C"/>
    <w:rsid w:val="00892527"/>
    <w:rsid w:val="00894680"/>
    <w:rsid w:val="008968A3"/>
    <w:rsid w:val="008A20CD"/>
    <w:rsid w:val="008A4071"/>
    <w:rsid w:val="008B177F"/>
    <w:rsid w:val="008B39AB"/>
    <w:rsid w:val="008B4967"/>
    <w:rsid w:val="008B4E34"/>
    <w:rsid w:val="008B582C"/>
    <w:rsid w:val="008B59E6"/>
    <w:rsid w:val="008C3B1E"/>
    <w:rsid w:val="008C3D2C"/>
    <w:rsid w:val="008C43C1"/>
    <w:rsid w:val="008C5244"/>
    <w:rsid w:val="008C5A2E"/>
    <w:rsid w:val="008C7DFC"/>
    <w:rsid w:val="008D366C"/>
    <w:rsid w:val="008D36CC"/>
    <w:rsid w:val="008D3AFF"/>
    <w:rsid w:val="008D4E9A"/>
    <w:rsid w:val="008E1A61"/>
    <w:rsid w:val="008E4BBC"/>
    <w:rsid w:val="008E4C7C"/>
    <w:rsid w:val="008E50B0"/>
    <w:rsid w:val="008E5884"/>
    <w:rsid w:val="008E78AC"/>
    <w:rsid w:val="008F0A49"/>
    <w:rsid w:val="008F0FB4"/>
    <w:rsid w:val="008F5294"/>
    <w:rsid w:val="00902EB1"/>
    <w:rsid w:val="009055FC"/>
    <w:rsid w:val="00906FE3"/>
    <w:rsid w:val="00907C6A"/>
    <w:rsid w:val="00911761"/>
    <w:rsid w:val="009131FA"/>
    <w:rsid w:val="00921F20"/>
    <w:rsid w:val="00923A60"/>
    <w:rsid w:val="0093241C"/>
    <w:rsid w:val="00944A3E"/>
    <w:rsid w:val="009466D8"/>
    <w:rsid w:val="009558B2"/>
    <w:rsid w:val="0096014A"/>
    <w:rsid w:val="00960E29"/>
    <w:rsid w:val="0096655A"/>
    <w:rsid w:val="00966961"/>
    <w:rsid w:val="00970684"/>
    <w:rsid w:val="00971E1F"/>
    <w:rsid w:val="0097391F"/>
    <w:rsid w:val="009762F9"/>
    <w:rsid w:val="009768C7"/>
    <w:rsid w:val="00980FA4"/>
    <w:rsid w:val="00985426"/>
    <w:rsid w:val="00985441"/>
    <w:rsid w:val="00992C08"/>
    <w:rsid w:val="00997DC1"/>
    <w:rsid w:val="009A5B0A"/>
    <w:rsid w:val="009B25AC"/>
    <w:rsid w:val="009B30C7"/>
    <w:rsid w:val="009B4C46"/>
    <w:rsid w:val="009B6703"/>
    <w:rsid w:val="009B7B17"/>
    <w:rsid w:val="009C4603"/>
    <w:rsid w:val="009D0057"/>
    <w:rsid w:val="009D02EF"/>
    <w:rsid w:val="009D5E12"/>
    <w:rsid w:val="009E0BAF"/>
    <w:rsid w:val="009E25DF"/>
    <w:rsid w:val="009E36F0"/>
    <w:rsid w:val="009E3C28"/>
    <w:rsid w:val="009E43DE"/>
    <w:rsid w:val="009E6C35"/>
    <w:rsid w:val="009E72E1"/>
    <w:rsid w:val="009E7C30"/>
    <w:rsid w:val="009F0478"/>
    <w:rsid w:val="009F220E"/>
    <w:rsid w:val="00A05ADB"/>
    <w:rsid w:val="00A10D84"/>
    <w:rsid w:val="00A21D46"/>
    <w:rsid w:val="00A222AC"/>
    <w:rsid w:val="00A33A0E"/>
    <w:rsid w:val="00A40CCE"/>
    <w:rsid w:val="00A54291"/>
    <w:rsid w:val="00A67C46"/>
    <w:rsid w:val="00A747AB"/>
    <w:rsid w:val="00A76CEA"/>
    <w:rsid w:val="00A80296"/>
    <w:rsid w:val="00A81EC1"/>
    <w:rsid w:val="00A90943"/>
    <w:rsid w:val="00A9372D"/>
    <w:rsid w:val="00A946B3"/>
    <w:rsid w:val="00A95453"/>
    <w:rsid w:val="00A9783B"/>
    <w:rsid w:val="00AA0E42"/>
    <w:rsid w:val="00AB1946"/>
    <w:rsid w:val="00AB3FA9"/>
    <w:rsid w:val="00AB6856"/>
    <w:rsid w:val="00AB75F8"/>
    <w:rsid w:val="00AB7CDE"/>
    <w:rsid w:val="00AC0A0D"/>
    <w:rsid w:val="00AC2DFB"/>
    <w:rsid w:val="00AC30D5"/>
    <w:rsid w:val="00AD6A18"/>
    <w:rsid w:val="00AD71EE"/>
    <w:rsid w:val="00AE0308"/>
    <w:rsid w:val="00AE427F"/>
    <w:rsid w:val="00AF2960"/>
    <w:rsid w:val="00AF2EA2"/>
    <w:rsid w:val="00AF39F8"/>
    <w:rsid w:val="00AF3AB0"/>
    <w:rsid w:val="00AF3EE9"/>
    <w:rsid w:val="00AF49A3"/>
    <w:rsid w:val="00AF4BBF"/>
    <w:rsid w:val="00AF58ED"/>
    <w:rsid w:val="00B04C31"/>
    <w:rsid w:val="00B07B2B"/>
    <w:rsid w:val="00B242F7"/>
    <w:rsid w:val="00B2603A"/>
    <w:rsid w:val="00B32ABD"/>
    <w:rsid w:val="00B33556"/>
    <w:rsid w:val="00B33F3D"/>
    <w:rsid w:val="00B43015"/>
    <w:rsid w:val="00B4627F"/>
    <w:rsid w:val="00B46CD3"/>
    <w:rsid w:val="00B47E42"/>
    <w:rsid w:val="00B5554C"/>
    <w:rsid w:val="00B5715A"/>
    <w:rsid w:val="00B65340"/>
    <w:rsid w:val="00B726AA"/>
    <w:rsid w:val="00B72D31"/>
    <w:rsid w:val="00B74B96"/>
    <w:rsid w:val="00B85111"/>
    <w:rsid w:val="00B9523F"/>
    <w:rsid w:val="00B979EC"/>
    <w:rsid w:val="00BA04A2"/>
    <w:rsid w:val="00BB35C8"/>
    <w:rsid w:val="00BB4505"/>
    <w:rsid w:val="00BC28FB"/>
    <w:rsid w:val="00BC6BCB"/>
    <w:rsid w:val="00BD177C"/>
    <w:rsid w:val="00BD26B2"/>
    <w:rsid w:val="00BD440A"/>
    <w:rsid w:val="00BD60F9"/>
    <w:rsid w:val="00BE6216"/>
    <w:rsid w:val="00BF3D60"/>
    <w:rsid w:val="00BF4CC0"/>
    <w:rsid w:val="00BF657B"/>
    <w:rsid w:val="00BF7D7E"/>
    <w:rsid w:val="00C03356"/>
    <w:rsid w:val="00C03E93"/>
    <w:rsid w:val="00C047BB"/>
    <w:rsid w:val="00C1382D"/>
    <w:rsid w:val="00C13DE9"/>
    <w:rsid w:val="00C14501"/>
    <w:rsid w:val="00C33813"/>
    <w:rsid w:val="00C37EDE"/>
    <w:rsid w:val="00C41800"/>
    <w:rsid w:val="00C43439"/>
    <w:rsid w:val="00C460DA"/>
    <w:rsid w:val="00C50DFF"/>
    <w:rsid w:val="00C52DD2"/>
    <w:rsid w:val="00C53F08"/>
    <w:rsid w:val="00C56051"/>
    <w:rsid w:val="00C61233"/>
    <w:rsid w:val="00C66A8D"/>
    <w:rsid w:val="00C67C01"/>
    <w:rsid w:val="00C74FC1"/>
    <w:rsid w:val="00C76A8E"/>
    <w:rsid w:val="00C84997"/>
    <w:rsid w:val="00C90C0E"/>
    <w:rsid w:val="00C90D5B"/>
    <w:rsid w:val="00C9730D"/>
    <w:rsid w:val="00CA4992"/>
    <w:rsid w:val="00CA5071"/>
    <w:rsid w:val="00CA5838"/>
    <w:rsid w:val="00CA5859"/>
    <w:rsid w:val="00CB3C66"/>
    <w:rsid w:val="00CB5258"/>
    <w:rsid w:val="00CC5165"/>
    <w:rsid w:val="00CD36E3"/>
    <w:rsid w:val="00CE2CD4"/>
    <w:rsid w:val="00CE3831"/>
    <w:rsid w:val="00CF2680"/>
    <w:rsid w:val="00CF5C00"/>
    <w:rsid w:val="00CF67D3"/>
    <w:rsid w:val="00D15115"/>
    <w:rsid w:val="00D16129"/>
    <w:rsid w:val="00D25781"/>
    <w:rsid w:val="00D302F5"/>
    <w:rsid w:val="00D30759"/>
    <w:rsid w:val="00D41CF5"/>
    <w:rsid w:val="00D46D4A"/>
    <w:rsid w:val="00D503E1"/>
    <w:rsid w:val="00D535FA"/>
    <w:rsid w:val="00D541BF"/>
    <w:rsid w:val="00D55E03"/>
    <w:rsid w:val="00D57D23"/>
    <w:rsid w:val="00D60FFF"/>
    <w:rsid w:val="00D6272B"/>
    <w:rsid w:val="00D64363"/>
    <w:rsid w:val="00D666FD"/>
    <w:rsid w:val="00D70FB2"/>
    <w:rsid w:val="00D740EF"/>
    <w:rsid w:val="00D74FB8"/>
    <w:rsid w:val="00D75382"/>
    <w:rsid w:val="00D76964"/>
    <w:rsid w:val="00D840F7"/>
    <w:rsid w:val="00D92119"/>
    <w:rsid w:val="00DA1E2C"/>
    <w:rsid w:val="00DA38CF"/>
    <w:rsid w:val="00DA41FD"/>
    <w:rsid w:val="00DA4F14"/>
    <w:rsid w:val="00DA5799"/>
    <w:rsid w:val="00DA63FB"/>
    <w:rsid w:val="00DC72CC"/>
    <w:rsid w:val="00DD493A"/>
    <w:rsid w:val="00DD6FD2"/>
    <w:rsid w:val="00DD7DC0"/>
    <w:rsid w:val="00DE1DDE"/>
    <w:rsid w:val="00DE296C"/>
    <w:rsid w:val="00DE38E3"/>
    <w:rsid w:val="00DE72A4"/>
    <w:rsid w:val="00DF019A"/>
    <w:rsid w:val="00DF0FEC"/>
    <w:rsid w:val="00DF11FA"/>
    <w:rsid w:val="00DF1B7A"/>
    <w:rsid w:val="00DF47F0"/>
    <w:rsid w:val="00DF4923"/>
    <w:rsid w:val="00DF5B21"/>
    <w:rsid w:val="00DF5F35"/>
    <w:rsid w:val="00E021F0"/>
    <w:rsid w:val="00E07095"/>
    <w:rsid w:val="00E105FC"/>
    <w:rsid w:val="00E15F14"/>
    <w:rsid w:val="00E16CB7"/>
    <w:rsid w:val="00E17693"/>
    <w:rsid w:val="00E2437C"/>
    <w:rsid w:val="00E25F3C"/>
    <w:rsid w:val="00E321E8"/>
    <w:rsid w:val="00E32ED2"/>
    <w:rsid w:val="00E37053"/>
    <w:rsid w:val="00E3713D"/>
    <w:rsid w:val="00E42447"/>
    <w:rsid w:val="00E42554"/>
    <w:rsid w:val="00E426BE"/>
    <w:rsid w:val="00E43DCE"/>
    <w:rsid w:val="00E46206"/>
    <w:rsid w:val="00E536FD"/>
    <w:rsid w:val="00E54526"/>
    <w:rsid w:val="00E54B70"/>
    <w:rsid w:val="00E5555D"/>
    <w:rsid w:val="00E61C40"/>
    <w:rsid w:val="00E6625C"/>
    <w:rsid w:val="00E742E5"/>
    <w:rsid w:val="00E76C2C"/>
    <w:rsid w:val="00E81E31"/>
    <w:rsid w:val="00E822EF"/>
    <w:rsid w:val="00E82A66"/>
    <w:rsid w:val="00E84693"/>
    <w:rsid w:val="00E853A4"/>
    <w:rsid w:val="00E87600"/>
    <w:rsid w:val="00E92820"/>
    <w:rsid w:val="00E94AF1"/>
    <w:rsid w:val="00EA5E4B"/>
    <w:rsid w:val="00EB1327"/>
    <w:rsid w:val="00EB4E09"/>
    <w:rsid w:val="00EC64F4"/>
    <w:rsid w:val="00ED1A12"/>
    <w:rsid w:val="00EF48F5"/>
    <w:rsid w:val="00EF5350"/>
    <w:rsid w:val="00F00DEE"/>
    <w:rsid w:val="00F00E8B"/>
    <w:rsid w:val="00F01B67"/>
    <w:rsid w:val="00F02EB0"/>
    <w:rsid w:val="00F11B1E"/>
    <w:rsid w:val="00F1471B"/>
    <w:rsid w:val="00F15942"/>
    <w:rsid w:val="00F15EB7"/>
    <w:rsid w:val="00F228F7"/>
    <w:rsid w:val="00F22A71"/>
    <w:rsid w:val="00F31FE8"/>
    <w:rsid w:val="00F34177"/>
    <w:rsid w:val="00F34B89"/>
    <w:rsid w:val="00F372B3"/>
    <w:rsid w:val="00F437C3"/>
    <w:rsid w:val="00F44322"/>
    <w:rsid w:val="00F45484"/>
    <w:rsid w:val="00F54A10"/>
    <w:rsid w:val="00F55751"/>
    <w:rsid w:val="00F626E7"/>
    <w:rsid w:val="00F651EE"/>
    <w:rsid w:val="00F7529F"/>
    <w:rsid w:val="00F757B5"/>
    <w:rsid w:val="00F7635F"/>
    <w:rsid w:val="00F76638"/>
    <w:rsid w:val="00F76695"/>
    <w:rsid w:val="00F84653"/>
    <w:rsid w:val="00F8683C"/>
    <w:rsid w:val="00F874DB"/>
    <w:rsid w:val="00FA0FC0"/>
    <w:rsid w:val="00FA13AA"/>
    <w:rsid w:val="00FB1721"/>
    <w:rsid w:val="00FC7141"/>
    <w:rsid w:val="00FD0940"/>
    <w:rsid w:val="00FD4B62"/>
    <w:rsid w:val="00FD5EE7"/>
    <w:rsid w:val="00FE0711"/>
    <w:rsid w:val="00FE4F36"/>
    <w:rsid w:val="00FF0FF2"/>
    <w:rsid w:val="00FF2DF6"/>
    <w:rsid w:val="00FF63B1"/>
    <w:rsid w:val="00FF6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EFB888E5-635E-434C-98D0-B012C0372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116748"/>
    <w:pPr>
      <w:autoSpaceDE w:val="0"/>
      <w:autoSpaceDN w:val="0"/>
      <w:adjustRightInd w:val="0"/>
    </w:pPr>
    <w:rPr>
      <w:rFonts w:ascii="Arial" w:hAnsi="Arial" w:cs="Arial"/>
      <w:color w:val="000000"/>
      <w:sz w:val="24"/>
      <w:szCs w:val="24"/>
      <w:lang w:eastAsia="ja-JP"/>
    </w:rPr>
  </w:style>
  <w:style w:type="table" w:styleId="TableGrid">
    <w:name w:val="Table Grid"/>
    <w:basedOn w:val="TableNormal"/>
    <w:rsid w:val="003B4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41A"/>
    <w:rPr>
      <w:rFonts w:ascii="Segoe UI" w:hAnsi="Segoe UI" w:cs="Segoe UI"/>
      <w:sz w:val="18"/>
      <w:szCs w:val="18"/>
    </w:rPr>
  </w:style>
  <w:style w:type="character" w:customStyle="1" w:styleId="BalloonTextChar">
    <w:name w:val="Balloon Text Char"/>
    <w:link w:val="BalloonText"/>
    <w:uiPriority w:val="99"/>
    <w:semiHidden/>
    <w:rsid w:val="007D441A"/>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918407">
      <w:bodyDiv w:val="1"/>
      <w:marLeft w:val="0"/>
      <w:marRight w:val="0"/>
      <w:marTop w:val="0"/>
      <w:marBottom w:val="0"/>
      <w:divBdr>
        <w:top w:val="none" w:sz="0" w:space="0" w:color="auto"/>
        <w:left w:val="none" w:sz="0" w:space="0" w:color="auto"/>
        <w:bottom w:val="none" w:sz="0" w:space="0" w:color="auto"/>
        <w:right w:val="none" w:sz="0" w:space="0" w:color="auto"/>
      </w:divBdr>
      <w:divsChild>
        <w:div w:id="179661564">
          <w:marLeft w:val="0"/>
          <w:marRight w:val="0"/>
          <w:marTop w:val="0"/>
          <w:marBottom w:val="0"/>
          <w:divBdr>
            <w:top w:val="none" w:sz="0" w:space="0" w:color="auto"/>
            <w:left w:val="none" w:sz="0" w:space="0" w:color="auto"/>
            <w:bottom w:val="none" w:sz="0" w:space="0" w:color="auto"/>
            <w:right w:val="none" w:sz="0" w:space="0" w:color="auto"/>
          </w:divBdr>
        </w:div>
        <w:div w:id="1479229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1414</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The Iowa Osteopathic Medical Association continues to believe that medical liability reform is needed to ensure Iowans have ac</vt:lpstr>
    </vt:vector>
  </TitlesOfParts>
  <Company>Madison County Medical Associates</Company>
  <LinksUpToDate>false</LinksUpToDate>
  <CharactersWithSpaces>9213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Iowa Osteopathic Medical Association continues to believe that medical liability reform is needed to ensure Iowans have ac</dc:title>
  <dc:subject/>
  <dc:creator>Kevin de Regnier, DO, FACOFP</dc:creator>
  <cp:keywords/>
  <dc:description/>
  <cp:lastModifiedBy>Leah McWilliams</cp:lastModifiedBy>
  <cp:revision>2</cp:revision>
  <cp:lastPrinted>2016-12-29T15:06:00Z</cp:lastPrinted>
  <dcterms:created xsi:type="dcterms:W3CDTF">2017-02-21T17:13:00Z</dcterms:created>
  <dcterms:modified xsi:type="dcterms:W3CDTF">2017-02-21T17:13:00Z</dcterms:modified>
</cp:coreProperties>
</file>